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65" w:rsidRDefault="004D7A0A" w:rsidP="00541B68">
      <w:pPr>
        <w:pStyle w:val="Heading1"/>
      </w:pPr>
      <w:r w:rsidRPr="004D7A0A">
        <w:t xml:space="preserve">Status of the Recommissioning of the Synchrotron Light Source PETRA III </w:t>
      </w:r>
    </w:p>
    <w:p w:rsidR="00F347FB" w:rsidRPr="006C4610" w:rsidRDefault="00D3613B" w:rsidP="00883127">
      <w:pPr>
        <w:pStyle w:val="AuthorList"/>
        <w:rPr>
          <w:kern w:val="16"/>
          <w:lang w:val="fr-FR"/>
        </w:rPr>
      </w:pPr>
      <w:r>
        <w:rPr>
          <w:kern w:val="16"/>
          <w:lang w:val="fr-FR"/>
        </w:rPr>
        <w:t>M. Bieler</w:t>
      </w:r>
      <w:r w:rsidR="00444FC5">
        <w:rPr>
          <w:kern w:val="16"/>
          <w:lang w:val="fr-FR"/>
        </w:rPr>
        <w:t xml:space="preserve">, M. Ebert, </w:t>
      </w:r>
      <w:r w:rsidR="00883127">
        <w:rPr>
          <w:kern w:val="16"/>
          <w:lang w:val="fr-FR"/>
        </w:rPr>
        <w:t xml:space="preserve"> L. </w:t>
      </w:r>
      <w:proofErr w:type="spellStart"/>
      <w:r w:rsidR="00883127">
        <w:rPr>
          <w:kern w:val="16"/>
          <w:lang w:val="fr-FR"/>
        </w:rPr>
        <w:t>Fröhlich</w:t>
      </w:r>
      <w:proofErr w:type="spellEnd"/>
      <w:r w:rsidR="00883127">
        <w:rPr>
          <w:kern w:val="16"/>
          <w:lang w:val="fr-FR"/>
        </w:rPr>
        <w:t xml:space="preserve">, J. Keil, </w:t>
      </w:r>
      <w:r w:rsidR="00473A14">
        <w:rPr>
          <w:kern w:val="16"/>
          <w:lang w:val="fr-FR"/>
        </w:rPr>
        <w:t xml:space="preserve">J. </w:t>
      </w:r>
      <w:proofErr w:type="spellStart"/>
      <w:r w:rsidR="00473A14">
        <w:rPr>
          <w:kern w:val="16"/>
          <w:lang w:val="fr-FR"/>
        </w:rPr>
        <w:t>Klute</w:t>
      </w:r>
      <w:proofErr w:type="spellEnd"/>
      <w:r w:rsidR="00473A14">
        <w:rPr>
          <w:kern w:val="16"/>
          <w:lang w:val="fr-FR"/>
        </w:rPr>
        <w:t xml:space="preserve">, </w:t>
      </w:r>
      <w:r w:rsidR="00883127">
        <w:rPr>
          <w:kern w:val="16"/>
          <w:lang w:val="fr-FR"/>
        </w:rPr>
        <w:t xml:space="preserve">G. </w:t>
      </w:r>
      <w:proofErr w:type="spellStart"/>
      <w:r w:rsidR="00883127">
        <w:rPr>
          <w:kern w:val="16"/>
          <w:lang w:val="fr-FR"/>
        </w:rPr>
        <w:t>Kube</w:t>
      </w:r>
      <w:proofErr w:type="spellEnd"/>
      <w:r w:rsidR="00883127">
        <w:rPr>
          <w:kern w:val="16"/>
          <w:lang w:val="fr-FR"/>
        </w:rPr>
        <w:t>,</w:t>
      </w:r>
      <w:r>
        <w:rPr>
          <w:kern w:val="16"/>
          <w:lang w:val="fr-FR"/>
        </w:rPr>
        <w:t xml:space="preserve"> G. K. </w:t>
      </w:r>
      <w:r w:rsidR="000334F9">
        <w:rPr>
          <w:kern w:val="16"/>
          <w:lang w:val="fr-FR"/>
        </w:rPr>
        <w:t xml:space="preserve">Sahoo, </w:t>
      </w:r>
      <w:r w:rsidR="00883127">
        <w:rPr>
          <w:kern w:val="16"/>
          <w:lang w:val="fr-FR"/>
        </w:rPr>
        <w:t>R</w:t>
      </w:r>
      <w:r w:rsidR="00165665" w:rsidRPr="009B15A2">
        <w:rPr>
          <w:kern w:val="16"/>
          <w:lang w:val="fr-FR"/>
        </w:rPr>
        <w:t>.</w:t>
      </w:r>
      <w:r w:rsidR="00883127">
        <w:rPr>
          <w:kern w:val="16"/>
          <w:lang w:val="fr-FR"/>
        </w:rPr>
        <w:t xml:space="preserve"> </w:t>
      </w:r>
      <w:proofErr w:type="spellStart"/>
      <w:r w:rsidR="00883127">
        <w:rPr>
          <w:kern w:val="16"/>
          <w:lang w:val="fr-FR"/>
        </w:rPr>
        <w:t>Wanzenberg</w:t>
      </w:r>
      <w:proofErr w:type="spellEnd"/>
      <w:r w:rsidR="00165665" w:rsidRPr="009B15A2">
        <w:rPr>
          <w:kern w:val="16"/>
          <w:vertAlign w:val="superscript"/>
          <w:lang w:val="fr-FR"/>
        </w:rPr>
        <w:t>#</w:t>
      </w:r>
      <w:r w:rsidR="00883127">
        <w:rPr>
          <w:kern w:val="16"/>
          <w:lang w:val="fr-FR"/>
        </w:rPr>
        <w:t>,</w:t>
      </w:r>
      <w:r w:rsidR="00444FC5">
        <w:rPr>
          <w:kern w:val="16"/>
          <w:lang w:val="fr-FR"/>
        </w:rPr>
        <w:t xml:space="preserve">     </w:t>
      </w:r>
      <w:r w:rsidR="00883127">
        <w:rPr>
          <w:kern w:val="16"/>
          <w:lang w:val="fr-FR"/>
        </w:rPr>
        <w:t xml:space="preserve"> DESY, </w:t>
      </w:r>
      <w:proofErr w:type="spellStart"/>
      <w:r w:rsidR="00883127">
        <w:rPr>
          <w:kern w:val="16"/>
          <w:lang w:val="fr-FR"/>
        </w:rPr>
        <w:t>Hamburg</w:t>
      </w:r>
      <w:proofErr w:type="spellEnd"/>
      <w:r w:rsidR="00883127">
        <w:rPr>
          <w:kern w:val="16"/>
          <w:lang w:val="fr-FR"/>
        </w:rPr>
        <w:t>, Germany</w:t>
      </w:r>
      <w:r w:rsidR="006C4610">
        <w:rPr>
          <w:kern w:val="16"/>
          <w:lang w:val="fr-FR"/>
        </w:rPr>
        <w:br/>
      </w:r>
    </w:p>
    <w:p w:rsidR="009201DC" w:rsidRPr="00AA3EDF" w:rsidRDefault="009201DC" w:rsidP="00B36423">
      <w:pPr>
        <w:pStyle w:val="AbstractTitle"/>
        <w:rPr>
          <w:lang w:val="fr-FR"/>
        </w:rPr>
        <w:sectPr w:rsidR="009201DC" w:rsidRPr="00AA3EDF" w:rsidSect="00D90022">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p>
    <w:p w:rsidR="00165665" w:rsidRPr="001059C4" w:rsidRDefault="00165665" w:rsidP="00B36423">
      <w:pPr>
        <w:pStyle w:val="AbstractTitle"/>
        <w:rPr>
          <w:lang w:val="de-DE"/>
        </w:rPr>
      </w:pPr>
      <w:r w:rsidRPr="001059C4">
        <w:rPr>
          <w:lang w:val="de-DE"/>
        </w:rPr>
        <w:lastRenderedPageBreak/>
        <w:t>Abstract</w:t>
      </w:r>
    </w:p>
    <w:p w:rsidR="00165665" w:rsidRDefault="004D7A0A" w:rsidP="00165665">
      <w:pPr>
        <w:pStyle w:val="BodyTextIndent"/>
        <w:rPr>
          <w:kern w:val="16"/>
        </w:rPr>
      </w:pPr>
      <w:r w:rsidRPr="004D7A0A">
        <w:rPr>
          <w:kern w:val="16"/>
        </w:rPr>
        <w:t xml:space="preserve">At DESY the Synchrotron Light Source PETRA III has been extended in the North and East section of the storage ring to </w:t>
      </w:r>
      <w:r w:rsidR="006D4221">
        <w:rPr>
          <w:kern w:val="16"/>
        </w:rPr>
        <w:t xml:space="preserve">accommodate ten additional </w:t>
      </w:r>
      <w:proofErr w:type="spellStart"/>
      <w:r w:rsidR="006D4221">
        <w:rPr>
          <w:kern w:val="16"/>
        </w:rPr>
        <w:t>beam</w:t>
      </w:r>
      <w:r w:rsidRPr="004D7A0A">
        <w:rPr>
          <w:kern w:val="16"/>
        </w:rPr>
        <w:t>lines</w:t>
      </w:r>
      <w:proofErr w:type="spellEnd"/>
      <w:r w:rsidRPr="004D7A0A">
        <w:rPr>
          <w:kern w:val="16"/>
        </w:rPr>
        <w:t xml:space="preserve">. The PETRA ring was converted into a dedicated synchrotron light source from 2007 to 2009. Regular user operation started in summer 2010 with a very low emittance of 1 nm at </w:t>
      </w:r>
      <w:proofErr w:type="gramStart"/>
      <w:r w:rsidRPr="004D7A0A">
        <w:rPr>
          <w:kern w:val="16"/>
        </w:rPr>
        <w:t>a beam</w:t>
      </w:r>
      <w:proofErr w:type="gramEnd"/>
      <w:r w:rsidRPr="004D7A0A">
        <w:rPr>
          <w:kern w:val="16"/>
        </w:rPr>
        <w:t xml:space="preserve"> energy of 6 GeV and a total beam cur</w:t>
      </w:r>
      <w:r w:rsidR="006D4221">
        <w:rPr>
          <w:kern w:val="16"/>
        </w:rPr>
        <w:t xml:space="preserve">rent of 100 mA. All photon </w:t>
      </w:r>
      <w:proofErr w:type="spellStart"/>
      <w:r w:rsidR="006D4221">
        <w:rPr>
          <w:kern w:val="16"/>
        </w:rPr>
        <w:t>beam</w:t>
      </w:r>
      <w:r w:rsidRPr="004D7A0A">
        <w:rPr>
          <w:kern w:val="16"/>
        </w:rPr>
        <w:t>lines</w:t>
      </w:r>
      <w:proofErr w:type="spellEnd"/>
      <w:r w:rsidRPr="004D7A0A">
        <w:rPr>
          <w:kern w:val="16"/>
        </w:rPr>
        <w:t xml:space="preserve"> were installed in one octant of the storage ring. Nine straight sections facilitated the installation of insertion devices for 14 beam lines. Due to the </w:t>
      </w:r>
      <w:r w:rsidR="006D4221">
        <w:rPr>
          <w:kern w:val="16"/>
        </w:rPr>
        <w:t xml:space="preserve">high demand for additional </w:t>
      </w:r>
      <w:proofErr w:type="spellStart"/>
      <w:r w:rsidR="006D4221">
        <w:rPr>
          <w:kern w:val="16"/>
        </w:rPr>
        <w:t>beam</w:t>
      </w:r>
      <w:r w:rsidRPr="004D7A0A">
        <w:rPr>
          <w:kern w:val="16"/>
        </w:rPr>
        <w:t>li</w:t>
      </w:r>
      <w:r w:rsidR="00BB7CF4">
        <w:rPr>
          <w:kern w:val="16"/>
        </w:rPr>
        <w:t>nes</w:t>
      </w:r>
      <w:proofErr w:type="spellEnd"/>
      <w:r w:rsidR="00BB7CF4">
        <w:rPr>
          <w:kern w:val="16"/>
        </w:rPr>
        <w:t xml:space="preserve"> the lattice of the ring was</w:t>
      </w:r>
      <w:r w:rsidRPr="004D7A0A">
        <w:rPr>
          <w:kern w:val="16"/>
        </w:rPr>
        <w:t xml:space="preserve"> redesigned to</w:t>
      </w:r>
      <w:r w:rsidR="006D4221">
        <w:rPr>
          <w:kern w:val="16"/>
        </w:rPr>
        <w:t xml:space="preserve"> accommodate 10 additional </w:t>
      </w:r>
      <w:proofErr w:type="spellStart"/>
      <w:r w:rsidR="006D4221">
        <w:rPr>
          <w:kern w:val="16"/>
        </w:rPr>
        <w:t>beam</w:t>
      </w:r>
      <w:r w:rsidRPr="004D7A0A">
        <w:rPr>
          <w:kern w:val="16"/>
        </w:rPr>
        <w:t>lines</w:t>
      </w:r>
      <w:proofErr w:type="spellEnd"/>
      <w:r w:rsidRPr="004D7A0A">
        <w:rPr>
          <w:kern w:val="16"/>
        </w:rPr>
        <w:t xml:space="preserve"> in the future. In </w:t>
      </w:r>
      <w:proofErr w:type="gramStart"/>
      <w:r w:rsidRPr="004D7A0A">
        <w:rPr>
          <w:kern w:val="16"/>
        </w:rPr>
        <w:t>a</w:t>
      </w:r>
      <w:r w:rsidR="00BB7CF4">
        <w:rPr>
          <w:kern w:val="16"/>
        </w:rPr>
        <w:t>n</w:t>
      </w:r>
      <w:proofErr w:type="gramEnd"/>
      <w:r w:rsidRPr="004D7A0A">
        <w:rPr>
          <w:kern w:val="16"/>
        </w:rPr>
        <w:t xml:space="preserve"> one year long shut-down two new experimental halls were built. The </w:t>
      </w:r>
      <w:proofErr w:type="spellStart"/>
      <w:r w:rsidRPr="004D7A0A">
        <w:rPr>
          <w:kern w:val="16"/>
        </w:rPr>
        <w:t>recommissioning</w:t>
      </w:r>
      <w:proofErr w:type="spellEnd"/>
      <w:r w:rsidRPr="004D7A0A">
        <w:rPr>
          <w:kern w:val="16"/>
        </w:rPr>
        <w:t xml:space="preserve"> of PETRA III started in February 2015. We are reporting the current status of </w:t>
      </w:r>
      <w:r w:rsidR="006F27DC">
        <w:rPr>
          <w:kern w:val="16"/>
        </w:rPr>
        <w:t xml:space="preserve">the </w:t>
      </w:r>
      <w:r w:rsidRPr="004D7A0A">
        <w:rPr>
          <w:kern w:val="16"/>
        </w:rPr>
        <w:t>synchrotron light source including the performance of the subsystems.</w:t>
      </w:r>
    </w:p>
    <w:p w:rsidR="00165665" w:rsidRDefault="00975818" w:rsidP="00165665">
      <w:pPr>
        <w:pStyle w:val="Heading2"/>
        <w:spacing w:before="180"/>
      </w:pPr>
      <w:r>
        <w:t>PETRA III</w:t>
      </w:r>
    </w:p>
    <w:p w:rsidR="00714343" w:rsidRDefault="00714343" w:rsidP="00714343">
      <w:pPr>
        <w:pStyle w:val="BodyTextIndent"/>
        <w:rPr>
          <w:kern w:val="16"/>
        </w:rPr>
      </w:pPr>
      <w:r w:rsidRPr="00817D3A">
        <w:rPr>
          <w:kern w:val="16"/>
        </w:rPr>
        <w:t xml:space="preserve">PETRA was </w:t>
      </w:r>
      <w:r>
        <w:rPr>
          <w:kern w:val="16"/>
        </w:rPr>
        <w:t>originally</w:t>
      </w:r>
      <w:r w:rsidRPr="00817D3A">
        <w:rPr>
          <w:kern w:val="16"/>
        </w:rPr>
        <w:t xml:space="preserve"> built</w:t>
      </w:r>
      <w:r>
        <w:rPr>
          <w:kern w:val="16"/>
        </w:rPr>
        <w:t xml:space="preserve"> as an electron – positron </w:t>
      </w:r>
      <w:r w:rsidRPr="00817D3A">
        <w:rPr>
          <w:kern w:val="16"/>
        </w:rPr>
        <w:t>collide</w:t>
      </w:r>
      <w:r>
        <w:rPr>
          <w:kern w:val="16"/>
        </w:rPr>
        <w:t xml:space="preserve">r and was operated </w:t>
      </w:r>
      <w:r>
        <w:rPr>
          <w:rFonts w:ascii="TimesNewRoman" w:hAnsi="TimesNewRoman" w:cs="TimesNewRoman"/>
          <w:lang w:val="en-US"/>
        </w:rPr>
        <w:t>from 1978 to 1986</w:t>
      </w:r>
      <w:r>
        <w:rPr>
          <w:kern w:val="16"/>
        </w:rPr>
        <w:t xml:space="preserve"> </w:t>
      </w:r>
      <w:r w:rsidRPr="00817D3A">
        <w:rPr>
          <w:kern w:val="16"/>
        </w:rPr>
        <w:t>in this</w:t>
      </w:r>
      <w:r>
        <w:rPr>
          <w:kern w:val="16"/>
        </w:rPr>
        <w:t xml:space="preserve"> </w:t>
      </w:r>
      <w:r w:rsidRPr="00817D3A">
        <w:rPr>
          <w:kern w:val="16"/>
        </w:rPr>
        <w:t>mode.</w:t>
      </w:r>
      <w:r w:rsidRPr="00485A8D">
        <w:t xml:space="preserve"> </w:t>
      </w:r>
      <w:r w:rsidRPr="00485A8D">
        <w:rPr>
          <w:kern w:val="16"/>
        </w:rPr>
        <w:t>From 1</w:t>
      </w:r>
      <w:r>
        <w:rPr>
          <w:kern w:val="16"/>
        </w:rPr>
        <w:t xml:space="preserve">988 to 2007 PETRA was used as a </w:t>
      </w:r>
      <w:proofErr w:type="spellStart"/>
      <w:r w:rsidRPr="00485A8D">
        <w:rPr>
          <w:kern w:val="16"/>
        </w:rPr>
        <w:t>preaccelerator</w:t>
      </w:r>
      <w:proofErr w:type="spellEnd"/>
      <w:r w:rsidRPr="00485A8D">
        <w:rPr>
          <w:kern w:val="16"/>
        </w:rPr>
        <w:t xml:space="preserve"> for the HERA lepton hadron collider ring</w:t>
      </w:r>
      <w:r>
        <w:rPr>
          <w:kern w:val="16"/>
        </w:rPr>
        <w:t xml:space="preserve"> </w:t>
      </w:r>
      <w:r w:rsidRPr="00485A8D">
        <w:rPr>
          <w:kern w:val="16"/>
        </w:rPr>
        <w:t>at DESY</w:t>
      </w:r>
      <w:r>
        <w:rPr>
          <w:kern w:val="16"/>
        </w:rPr>
        <w:t xml:space="preserve">. After the end of the HERA collider physics program </w:t>
      </w:r>
      <w:r w:rsidRPr="00485A8D">
        <w:rPr>
          <w:kern w:val="16"/>
        </w:rPr>
        <w:t>th</w:t>
      </w:r>
      <w:r>
        <w:rPr>
          <w:kern w:val="16"/>
        </w:rPr>
        <w:t xml:space="preserve">e PETRA ring was converted into </w:t>
      </w:r>
      <w:r w:rsidRPr="00485A8D">
        <w:rPr>
          <w:kern w:val="16"/>
        </w:rPr>
        <w:t>a dedicated 3rd generation synchrotron radiation facility,</w:t>
      </w:r>
      <w:r>
        <w:rPr>
          <w:kern w:val="16"/>
        </w:rPr>
        <w:t xml:space="preserve"> </w:t>
      </w:r>
      <w:r w:rsidRPr="00485A8D">
        <w:rPr>
          <w:kern w:val="16"/>
        </w:rPr>
        <w:t>called PETRA III [1].</w:t>
      </w:r>
      <w:r>
        <w:rPr>
          <w:kern w:val="16"/>
        </w:rPr>
        <w:t xml:space="preserve"> Beam operation star</w:t>
      </w:r>
      <w:r w:rsidR="006D4221">
        <w:rPr>
          <w:kern w:val="16"/>
        </w:rPr>
        <w:t xml:space="preserve">ted in 2009 [2] and all 14 </w:t>
      </w:r>
      <w:proofErr w:type="spellStart"/>
      <w:r w:rsidR="006D4221">
        <w:rPr>
          <w:kern w:val="16"/>
        </w:rPr>
        <w:t>beam</w:t>
      </w:r>
      <w:r>
        <w:rPr>
          <w:kern w:val="16"/>
        </w:rPr>
        <w:t>lines</w:t>
      </w:r>
      <w:proofErr w:type="spellEnd"/>
      <w:r>
        <w:rPr>
          <w:kern w:val="16"/>
        </w:rPr>
        <w:t xml:space="preserve"> are operational since 2011. </w:t>
      </w:r>
      <w:r w:rsidRPr="004D7A0A">
        <w:rPr>
          <w:kern w:val="16"/>
        </w:rPr>
        <w:t xml:space="preserve">Due to the </w:t>
      </w:r>
      <w:r w:rsidR="006D4221">
        <w:rPr>
          <w:kern w:val="16"/>
        </w:rPr>
        <w:t xml:space="preserve">high demand for additional </w:t>
      </w:r>
      <w:proofErr w:type="spellStart"/>
      <w:r w:rsidR="006D4221">
        <w:rPr>
          <w:kern w:val="16"/>
        </w:rPr>
        <w:t>beam</w:t>
      </w:r>
      <w:r w:rsidRPr="004D7A0A">
        <w:rPr>
          <w:kern w:val="16"/>
        </w:rPr>
        <w:t>li</w:t>
      </w:r>
      <w:r w:rsidR="00E124F5">
        <w:rPr>
          <w:kern w:val="16"/>
        </w:rPr>
        <w:t>nes</w:t>
      </w:r>
      <w:proofErr w:type="spellEnd"/>
      <w:r w:rsidR="00E124F5">
        <w:rPr>
          <w:kern w:val="16"/>
        </w:rPr>
        <w:t xml:space="preserve"> the lattice of the ring was</w:t>
      </w:r>
      <w:r w:rsidRPr="004D7A0A">
        <w:rPr>
          <w:kern w:val="16"/>
        </w:rPr>
        <w:t xml:space="preserve"> redesigned to accommodate 10 addi</w:t>
      </w:r>
      <w:r w:rsidR="006D4221">
        <w:rPr>
          <w:kern w:val="16"/>
        </w:rPr>
        <w:t xml:space="preserve">tional </w:t>
      </w:r>
      <w:proofErr w:type="spellStart"/>
      <w:r w:rsidR="006D4221">
        <w:rPr>
          <w:kern w:val="16"/>
        </w:rPr>
        <w:t>beam</w:t>
      </w:r>
      <w:r>
        <w:rPr>
          <w:kern w:val="16"/>
        </w:rPr>
        <w:t>lines</w:t>
      </w:r>
      <w:proofErr w:type="spellEnd"/>
      <w:r>
        <w:rPr>
          <w:kern w:val="16"/>
        </w:rPr>
        <w:t xml:space="preserve"> in the framework of the PETRA III extension project [3</w:t>
      </w:r>
      <w:r w:rsidR="00840E48">
        <w:rPr>
          <w:kern w:val="16"/>
        </w:rPr>
        <w:t xml:space="preserve">, 4, </w:t>
      </w:r>
      <w:proofErr w:type="gramStart"/>
      <w:r w:rsidR="00840E48">
        <w:rPr>
          <w:kern w:val="16"/>
        </w:rPr>
        <w:t>5</w:t>
      </w:r>
      <w:proofErr w:type="gramEnd"/>
      <w:r>
        <w:rPr>
          <w:kern w:val="16"/>
        </w:rPr>
        <w:t>].</w:t>
      </w:r>
      <w:r w:rsidR="00141F95">
        <w:rPr>
          <w:kern w:val="16"/>
        </w:rPr>
        <w:t xml:space="preserve"> </w:t>
      </w:r>
      <w:r w:rsidR="00E124F5">
        <w:rPr>
          <w:kern w:val="16"/>
        </w:rPr>
        <w:t xml:space="preserve">User operation </w:t>
      </w:r>
      <w:r w:rsidR="00141F95" w:rsidRPr="00286A34">
        <w:rPr>
          <w:kern w:val="16"/>
        </w:rPr>
        <w:t>ended in February</w:t>
      </w:r>
      <w:r w:rsidR="006F5830">
        <w:rPr>
          <w:kern w:val="16"/>
        </w:rPr>
        <w:t xml:space="preserve"> 201</w:t>
      </w:r>
      <w:bookmarkStart w:id="0" w:name="_GoBack"/>
      <w:bookmarkEnd w:id="0"/>
      <w:r w:rsidR="00E124F5">
        <w:rPr>
          <w:kern w:val="16"/>
        </w:rPr>
        <w:t>4</w:t>
      </w:r>
      <w:r w:rsidR="00141F95" w:rsidRPr="00286A34">
        <w:rPr>
          <w:kern w:val="16"/>
        </w:rPr>
        <w:t xml:space="preserve"> and the short user run of only four weeks can be considered as an extension to the long run period which started back in 2013. It was also the last user operation before a long</w:t>
      </w:r>
      <w:r w:rsidR="00141F95">
        <w:rPr>
          <w:kern w:val="16"/>
        </w:rPr>
        <w:t xml:space="preserve"> </w:t>
      </w:r>
      <w:r w:rsidR="005A51F5">
        <w:rPr>
          <w:kern w:val="16"/>
        </w:rPr>
        <w:t>shut</w:t>
      </w:r>
      <w:r w:rsidR="005A51F5" w:rsidRPr="00286A34">
        <w:rPr>
          <w:kern w:val="16"/>
        </w:rPr>
        <w:t xml:space="preserve"> </w:t>
      </w:r>
      <w:r w:rsidR="00141F95" w:rsidRPr="00286A34">
        <w:rPr>
          <w:kern w:val="16"/>
        </w:rPr>
        <w:t xml:space="preserve">down </w:t>
      </w:r>
      <w:r w:rsidR="00141F95">
        <w:rPr>
          <w:kern w:val="16"/>
        </w:rPr>
        <w:t xml:space="preserve">period of about one year </w:t>
      </w:r>
      <w:r w:rsidR="007A3DFB">
        <w:rPr>
          <w:kern w:val="16"/>
        </w:rPr>
        <w:t xml:space="preserve">which was </w:t>
      </w:r>
      <w:r w:rsidR="00141F95" w:rsidRPr="00286A34">
        <w:rPr>
          <w:kern w:val="16"/>
        </w:rPr>
        <w:t>started to implement the facility extension project.</w:t>
      </w:r>
    </w:p>
    <w:p w:rsidR="00165665" w:rsidRDefault="00165665" w:rsidP="00165665">
      <w:pPr>
        <w:pStyle w:val="BodyTextIndent"/>
        <w:rPr>
          <w:kern w:val="16"/>
        </w:rPr>
      </w:pPr>
    </w:p>
    <w:p w:rsidR="00165665" w:rsidRDefault="00165665" w:rsidP="007A3099">
      <w:pPr>
        <w:pStyle w:val="SubsectionHeading"/>
      </w:pPr>
      <w:r>
        <w:t xml:space="preserve">General </w:t>
      </w:r>
      <w:r w:rsidRPr="00541B68">
        <w:t>Layout</w:t>
      </w:r>
      <w:r w:rsidR="00714343" w:rsidRPr="00714343">
        <w:t xml:space="preserve"> </w:t>
      </w:r>
      <w:r w:rsidR="00714343">
        <w:t>of the PETRA III extension</w:t>
      </w:r>
    </w:p>
    <w:p w:rsidR="00165665" w:rsidRPr="008104CC" w:rsidRDefault="00141F95" w:rsidP="008104CC">
      <w:pPr>
        <w:pStyle w:val="BodyTextIndent"/>
      </w:pPr>
      <w:r w:rsidRPr="00286A34">
        <w:rPr>
          <w:kern w:val="16"/>
        </w:rPr>
        <w:t>Two tunnel sections about 80 m long in the North and the East of the PETRA ring were completely reconstructed and new experimental halls were built to extend the PETRA III synchrotron light facility. In the future more light will be ava</w:t>
      </w:r>
      <w:r w:rsidR="006D4221">
        <w:rPr>
          <w:kern w:val="16"/>
        </w:rPr>
        <w:t xml:space="preserve">ilable for users at 10 new </w:t>
      </w:r>
      <w:proofErr w:type="spellStart"/>
      <w:r w:rsidR="006D4221">
        <w:rPr>
          <w:kern w:val="16"/>
        </w:rPr>
        <w:t>beam</w:t>
      </w:r>
      <w:r w:rsidRPr="00286A34">
        <w:rPr>
          <w:kern w:val="16"/>
        </w:rPr>
        <w:t>lines</w:t>
      </w:r>
      <w:proofErr w:type="spellEnd"/>
      <w:r w:rsidRPr="00286A34">
        <w:rPr>
          <w:kern w:val="16"/>
        </w:rPr>
        <w:t xml:space="preserve"> in addition to the already existing 14 beam </w:t>
      </w:r>
      <w:r w:rsidRPr="00286A34">
        <w:rPr>
          <w:kern w:val="16"/>
        </w:rPr>
        <w:lastRenderedPageBreak/>
        <w:t>lines in the Max von Laue experimental hall.</w:t>
      </w:r>
      <w:r>
        <w:rPr>
          <w:kern w:val="16"/>
        </w:rPr>
        <w:t xml:space="preserve"> The location of the new halls is shown in Fig.1.</w:t>
      </w:r>
      <w:r w:rsidR="00D90022">
        <w:rPr>
          <w:noProof/>
          <w:lang w:val="en-US"/>
        </w:rPr>
        <mc:AlternateContent>
          <mc:Choice Requires="wps">
            <w:drawing>
              <wp:anchor distT="0" distB="0" distL="114300" distR="114300" simplePos="0" relativeHeight="251657728" behindDoc="0" locked="0" layoutInCell="1" allowOverlap="0" wp14:anchorId="38073894" wp14:editId="081258DD">
                <wp:simplePos x="0" y="0"/>
                <wp:positionH relativeFrom="column">
                  <wp:posOffset>4445</wp:posOffset>
                </wp:positionH>
                <wp:positionV relativeFrom="page">
                  <wp:posOffset>9554845</wp:posOffset>
                </wp:positionV>
                <wp:extent cx="2975610" cy="342900"/>
                <wp:effectExtent l="0" t="0" r="15240" b="0"/>
                <wp:wrapTopAndBottom/>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E4F" w:rsidRDefault="00F63E4F" w:rsidP="00165665">
                            <w:pPr>
                              <w:pStyle w:val="BodyTextIndent"/>
                              <w:tabs>
                                <w:tab w:val="left" w:leader="underscore" w:pos="1800"/>
                              </w:tabs>
                              <w:ind w:firstLine="0"/>
                              <w:rPr>
                                <w:kern w:val="16"/>
                                <w:sz w:val="8"/>
                              </w:rPr>
                            </w:pPr>
                            <w:r>
                              <w:rPr>
                                <w:kern w:val="16"/>
                                <w:sz w:val="8"/>
                              </w:rPr>
                              <w:tab/>
                            </w:r>
                          </w:p>
                          <w:p w:rsidR="00F63E4F" w:rsidRPr="00E56880" w:rsidRDefault="00883127" w:rsidP="00AA3EDF">
                            <w:pPr>
                              <w:pStyle w:val="FootnoteText"/>
                            </w:pPr>
                            <w:r>
                              <w:t>#rainer.wanzenberg@desy.de</w:t>
                            </w:r>
                            <w:r w:rsidR="00EF1D70">
                              <w:rPr>
                                <w:kern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pt;margin-top:752.35pt;width:23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k1rw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" o:allowoverlap="f" filled="f" stroked="f">
                <v:textbox inset="0,0,0,0">
                  <w:txbxContent>
                    <w:p w:rsidR="00F63E4F" w:rsidRDefault="00F63E4F" w:rsidP="00165665">
                      <w:pPr>
                        <w:pStyle w:val="BodyTextIndent"/>
                        <w:tabs>
                          <w:tab w:val="left" w:leader="underscore" w:pos="1800"/>
                        </w:tabs>
                        <w:ind w:firstLine="0"/>
                        <w:rPr>
                          <w:kern w:val="16"/>
                          <w:sz w:val="8"/>
                        </w:rPr>
                      </w:pPr>
                      <w:r>
                        <w:rPr>
                          <w:kern w:val="16"/>
                          <w:sz w:val="8"/>
                        </w:rPr>
                        <w:tab/>
                      </w:r>
                    </w:p>
                    <w:p w:rsidR="00F63E4F" w:rsidRPr="00E56880" w:rsidRDefault="00883127" w:rsidP="00AA3EDF">
                      <w:pPr>
                        <w:pStyle w:val="FootnoteText"/>
                      </w:pPr>
                      <w:r>
                        <w:t>#rainer.wanzenberg@desy.de</w:t>
                      </w:r>
                      <w:r w:rsidR="00EF1D70">
                        <w:rPr>
                          <w:kern w:val="16"/>
                        </w:rPr>
                        <w:t xml:space="preserve"> </w:t>
                      </w:r>
                    </w:p>
                  </w:txbxContent>
                </v:textbox>
                <w10:wrap type="topAndBottom" anchory="page"/>
              </v:shape>
            </w:pict>
          </mc:Fallback>
        </mc:AlternateContent>
      </w:r>
      <w:r>
        <w:rPr>
          <w:kern w:val="16"/>
        </w:rPr>
        <w:t xml:space="preserve"> A detailed layout </w:t>
      </w:r>
      <w:r w:rsidR="00767559">
        <w:rPr>
          <w:kern w:val="16"/>
        </w:rPr>
        <w:t>of the</w:t>
      </w:r>
      <w:r w:rsidR="00954442">
        <w:rPr>
          <w:kern w:val="16"/>
        </w:rPr>
        <w:t xml:space="preserve"> hall </w:t>
      </w:r>
      <w:proofErr w:type="gramStart"/>
      <w:r w:rsidR="00954442">
        <w:rPr>
          <w:kern w:val="16"/>
        </w:rPr>
        <w:t>North</w:t>
      </w:r>
      <w:proofErr w:type="gramEnd"/>
      <w:r w:rsidR="00954442">
        <w:rPr>
          <w:kern w:val="16"/>
        </w:rPr>
        <w:t xml:space="preserve"> of the PETRA extension is shown in Fig.2.</w:t>
      </w:r>
      <w:r w:rsidR="00DD5349">
        <w:rPr>
          <w:kern w:val="16"/>
        </w:rPr>
        <w:t xml:space="preserve"> </w:t>
      </w:r>
      <w:r w:rsidR="00DD5349" w:rsidRPr="00DD5349">
        <w:rPr>
          <w:kern w:val="16"/>
        </w:rPr>
        <w:t>The original plan to reuse the existing accelerator tunnel [3,</w:t>
      </w:r>
      <w:r w:rsidR="00DD5349">
        <w:rPr>
          <w:kern w:val="16"/>
        </w:rPr>
        <w:t xml:space="preserve"> 4] was not implemented since a new tunnel section is advantageous for the installation of the front end components of the </w:t>
      </w:r>
      <w:proofErr w:type="spellStart"/>
      <w:r w:rsidR="00DD5349">
        <w:rPr>
          <w:kern w:val="16"/>
        </w:rPr>
        <w:t>beamlines</w:t>
      </w:r>
      <w:proofErr w:type="spellEnd"/>
      <w:r w:rsidR="00DD5349">
        <w:rPr>
          <w:kern w:val="16"/>
        </w:rPr>
        <w:t>.</w:t>
      </w:r>
      <w:r w:rsidR="00F93A4F">
        <w:rPr>
          <w:kern w:val="16"/>
        </w:rPr>
        <w:t xml:space="preserve"> The decision to </w:t>
      </w:r>
      <w:r w:rsidR="00F93A4F" w:rsidRPr="00286A34">
        <w:rPr>
          <w:kern w:val="16"/>
        </w:rPr>
        <w:t>completely reconstruct</w:t>
      </w:r>
      <w:r w:rsidR="00F93A4F">
        <w:rPr>
          <w:kern w:val="16"/>
        </w:rPr>
        <w:t xml:space="preserve"> the tunnel sections was</w:t>
      </w:r>
      <w:r w:rsidR="00584823">
        <w:rPr>
          <w:kern w:val="16"/>
        </w:rPr>
        <w:t xml:space="preserve"> one of the </w:t>
      </w:r>
      <w:r w:rsidR="004A2265">
        <w:rPr>
          <w:kern w:val="16"/>
        </w:rPr>
        <w:t>reasons</w:t>
      </w:r>
      <w:r w:rsidR="00584823">
        <w:rPr>
          <w:kern w:val="16"/>
        </w:rPr>
        <w:t xml:space="preserve"> to revise</w:t>
      </w:r>
      <w:r w:rsidR="00F93A4F">
        <w:rPr>
          <w:kern w:val="16"/>
        </w:rPr>
        <w:t xml:space="preserve"> also the project schedule. </w:t>
      </w:r>
      <w:r w:rsidR="00DD5349">
        <w:rPr>
          <w:kern w:val="16"/>
        </w:rPr>
        <w:t xml:space="preserve"> </w:t>
      </w:r>
    </w:p>
    <w:p w:rsidR="00323071" w:rsidRDefault="00323071" w:rsidP="00165665">
      <w:pPr>
        <w:pStyle w:val="BodyTextIndent"/>
        <w:rPr>
          <w:kern w:val="16"/>
        </w:rPr>
      </w:pPr>
    </w:p>
    <w:tbl>
      <w:tblPr>
        <w:tblW w:w="0" w:type="auto"/>
        <w:tblLook w:val="04A0" w:firstRow="1" w:lastRow="0" w:firstColumn="1" w:lastColumn="0" w:noHBand="0" w:noVBand="1"/>
      </w:tblPr>
      <w:tblGrid>
        <w:gridCol w:w="4891"/>
      </w:tblGrid>
      <w:tr w:rsidR="00165665" w:rsidRPr="00E56880" w:rsidTr="00DF6E0A">
        <w:trPr>
          <w:trHeight w:val="3958"/>
        </w:trPr>
        <w:tc>
          <w:tcPr>
            <w:tcW w:w="4891" w:type="dxa"/>
          </w:tcPr>
          <w:p w:rsidR="00165665" w:rsidRPr="004A4577" w:rsidRDefault="00506C77" w:rsidP="00074A20">
            <w:pPr>
              <w:pStyle w:val="FigureCaption"/>
              <w:rPr>
                <w:kern w:val="16"/>
              </w:rPr>
            </w:pPr>
            <w:r>
              <w:rPr>
                <w:noProof/>
                <w:kern w:val="16"/>
                <w:lang w:val="en-US"/>
              </w:rPr>
              <w:drawing>
                <wp:inline distT="0" distB="0" distL="0" distR="0" wp14:anchorId="6A596352" wp14:editId="02442B31">
                  <wp:extent cx="2427103" cy="234834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Fig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0690" cy="2351815"/>
                          </a:xfrm>
                          <a:prstGeom prst="rect">
                            <a:avLst/>
                          </a:prstGeom>
                        </pic:spPr>
                      </pic:pic>
                    </a:graphicData>
                  </a:graphic>
                </wp:inline>
              </w:drawing>
            </w:r>
          </w:p>
        </w:tc>
      </w:tr>
      <w:tr w:rsidR="00165665" w:rsidRPr="00E56880" w:rsidTr="00D90022">
        <w:tc>
          <w:tcPr>
            <w:tcW w:w="4891" w:type="dxa"/>
          </w:tcPr>
          <w:p w:rsidR="00165665" w:rsidRPr="004A4577" w:rsidRDefault="00141F95" w:rsidP="00074A20">
            <w:pPr>
              <w:pStyle w:val="FigureCaption"/>
              <w:rPr>
                <w:kern w:val="16"/>
              </w:rPr>
            </w:pPr>
            <w:r>
              <w:rPr>
                <w:kern w:val="16"/>
              </w:rPr>
              <w:t xml:space="preserve">Figure 1: </w:t>
            </w:r>
            <w:r w:rsidR="00840E48">
              <w:rPr>
                <w:kern w:val="16"/>
              </w:rPr>
              <w:t xml:space="preserve">Layout </w:t>
            </w:r>
            <w:r w:rsidR="00840E48">
              <w:t>of</w:t>
            </w:r>
            <w:r w:rsidRPr="00141F95">
              <w:rPr>
                <w:kern w:val="16"/>
              </w:rPr>
              <w:t xml:space="preserve"> PETRA III. Two new halls in the North and East have been added.</w:t>
            </w:r>
          </w:p>
        </w:tc>
      </w:tr>
      <w:tr w:rsidR="00353CAC" w:rsidRPr="00E56880" w:rsidTr="00353CAC">
        <w:tc>
          <w:tcPr>
            <w:tcW w:w="4891" w:type="dxa"/>
          </w:tcPr>
          <w:p w:rsidR="00353CAC" w:rsidRPr="004A4577" w:rsidRDefault="00353CAC" w:rsidP="0018659D">
            <w:pPr>
              <w:pStyle w:val="FigureCaption"/>
              <w:rPr>
                <w:kern w:val="16"/>
              </w:rPr>
            </w:pPr>
            <w:r w:rsidRPr="00353CAC">
              <w:rPr>
                <w:noProof/>
                <w:kern w:val="16"/>
                <w:lang w:val="en-US"/>
              </w:rPr>
              <w:drawing>
                <wp:inline distT="0" distB="0" distL="0" distR="0" wp14:anchorId="0C39B30C" wp14:editId="1C968857">
                  <wp:extent cx="3014133" cy="1140338"/>
                  <wp:effectExtent l="0" t="0" r="0" b="3175"/>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Figure1.png"/>
                          <pic:cNvPicPr/>
                        </pic:nvPicPr>
                        <pic:blipFill>
                          <a:blip r:embed="rId10">
                            <a:extLst>
                              <a:ext uri="{28A0092B-C50C-407E-A947-70E740481C1C}">
                                <a14:useLocalDpi xmlns:a14="http://schemas.microsoft.com/office/drawing/2010/main" val="0"/>
                              </a:ext>
                            </a:extLst>
                          </a:blip>
                          <a:stretch>
                            <a:fillRect/>
                          </a:stretch>
                        </pic:blipFill>
                        <pic:spPr>
                          <a:xfrm>
                            <a:off x="0" y="0"/>
                            <a:ext cx="3027618" cy="1145440"/>
                          </a:xfrm>
                          <a:prstGeom prst="rect">
                            <a:avLst/>
                          </a:prstGeom>
                        </pic:spPr>
                      </pic:pic>
                    </a:graphicData>
                  </a:graphic>
                </wp:inline>
              </w:drawing>
            </w:r>
          </w:p>
        </w:tc>
      </w:tr>
      <w:tr w:rsidR="00353CAC" w:rsidRPr="00E56880" w:rsidTr="00353CAC">
        <w:tc>
          <w:tcPr>
            <w:tcW w:w="4891" w:type="dxa"/>
          </w:tcPr>
          <w:p w:rsidR="00353CAC" w:rsidRPr="004A4577" w:rsidRDefault="00353CAC" w:rsidP="0018659D">
            <w:pPr>
              <w:pStyle w:val="FigureCaption"/>
              <w:rPr>
                <w:kern w:val="16"/>
              </w:rPr>
            </w:pPr>
            <w:r>
              <w:rPr>
                <w:kern w:val="16"/>
              </w:rPr>
              <w:t>Figure 2: Hall North of the PETRA III extension</w:t>
            </w:r>
            <w:r w:rsidR="00444FC5">
              <w:rPr>
                <w:kern w:val="16"/>
              </w:rPr>
              <w:t>.</w:t>
            </w:r>
          </w:p>
        </w:tc>
      </w:tr>
    </w:tbl>
    <w:p w:rsidR="00AB4C09" w:rsidRDefault="006839C6" w:rsidP="009157D6">
      <w:pPr>
        <w:pStyle w:val="SubsectionHeading"/>
      </w:pPr>
      <w:r>
        <w:t>Parameters and Optics</w:t>
      </w:r>
    </w:p>
    <w:p w:rsidR="005D7294" w:rsidRDefault="006D4221" w:rsidP="00F27B65">
      <w:pPr>
        <w:pStyle w:val="BodyTextIndent"/>
        <w:rPr>
          <w:kern w:val="16"/>
        </w:rPr>
      </w:pPr>
      <w:r>
        <w:rPr>
          <w:kern w:val="16"/>
        </w:rPr>
        <w:t xml:space="preserve">Four </w:t>
      </w:r>
      <w:proofErr w:type="spellStart"/>
      <w:r>
        <w:rPr>
          <w:kern w:val="16"/>
        </w:rPr>
        <w:t>beam</w:t>
      </w:r>
      <w:r w:rsidR="00AB4C09">
        <w:rPr>
          <w:kern w:val="16"/>
        </w:rPr>
        <w:t>lines</w:t>
      </w:r>
      <w:proofErr w:type="spellEnd"/>
      <w:r w:rsidR="00AB4C09">
        <w:rPr>
          <w:kern w:val="16"/>
        </w:rPr>
        <w:t xml:space="preserve"> in the North and</w:t>
      </w:r>
      <w:r w:rsidR="00AB4C09" w:rsidRPr="00AB4C09">
        <w:rPr>
          <w:kern w:val="16"/>
        </w:rPr>
        <w:t xml:space="preserve"> respectively</w:t>
      </w:r>
      <w:r w:rsidR="00AB4C09">
        <w:rPr>
          <w:kern w:val="16"/>
        </w:rPr>
        <w:t xml:space="preserve"> in</w:t>
      </w:r>
      <w:r w:rsidR="00AB4C09" w:rsidRPr="00AB4C09">
        <w:rPr>
          <w:kern w:val="16"/>
        </w:rPr>
        <w:t xml:space="preserve"> </w:t>
      </w:r>
      <w:r w:rsidR="00E124F5">
        <w:rPr>
          <w:kern w:val="16"/>
        </w:rPr>
        <w:t xml:space="preserve">the </w:t>
      </w:r>
      <w:r w:rsidR="00AB4C09">
        <w:rPr>
          <w:kern w:val="16"/>
        </w:rPr>
        <w:t xml:space="preserve">East hall </w:t>
      </w:r>
      <w:r w:rsidR="006F27DC">
        <w:rPr>
          <w:kern w:val="16"/>
        </w:rPr>
        <w:t>will be</w:t>
      </w:r>
      <w:r w:rsidR="00AB4C09" w:rsidRPr="00AB4C09">
        <w:rPr>
          <w:kern w:val="16"/>
        </w:rPr>
        <w:t xml:space="preserve"> fed by four </w:t>
      </w:r>
      <w:proofErr w:type="spellStart"/>
      <w:r w:rsidR="00AB4C09" w:rsidRPr="00AB4C09">
        <w:rPr>
          <w:kern w:val="16"/>
        </w:rPr>
        <w:t>undulators</w:t>
      </w:r>
      <w:proofErr w:type="spellEnd"/>
      <w:r w:rsidR="00AB4C09" w:rsidRPr="00AB4C09">
        <w:rPr>
          <w:kern w:val="16"/>
        </w:rPr>
        <w:t xml:space="preserve"> that are installed in two canted</w:t>
      </w:r>
      <w:r w:rsidR="00AB4C09">
        <w:rPr>
          <w:kern w:val="16"/>
        </w:rPr>
        <w:t xml:space="preserve"> </w:t>
      </w:r>
      <w:r w:rsidR="00AB4C09" w:rsidRPr="00AB4C09">
        <w:rPr>
          <w:kern w:val="16"/>
        </w:rPr>
        <w:t>DBA</w:t>
      </w:r>
      <w:r w:rsidR="009809EF">
        <w:rPr>
          <w:kern w:val="16"/>
        </w:rPr>
        <w:t xml:space="preserve"> like</w:t>
      </w:r>
      <w:r w:rsidR="00AB4C09" w:rsidRPr="00AB4C09">
        <w:rPr>
          <w:kern w:val="16"/>
        </w:rPr>
        <w:t xml:space="preserve"> cells that </w:t>
      </w:r>
      <w:r w:rsidR="00AB4C09">
        <w:rPr>
          <w:kern w:val="16"/>
        </w:rPr>
        <w:t>have replace</w:t>
      </w:r>
      <w:r w:rsidR="00E124F5">
        <w:rPr>
          <w:kern w:val="16"/>
        </w:rPr>
        <w:t>d</w:t>
      </w:r>
      <w:r w:rsidR="00AB4C09">
        <w:rPr>
          <w:kern w:val="16"/>
        </w:rPr>
        <w:t xml:space="preserve"> </w:t>
      </w:r>
      <w:r w:rsidR="00F27B65">
        <w:rPr>
          <w:kern w:val="16"/>
        </w:rPr>
        <w:t>a part of the FODO lattice</w:t>
      </w:r>
      <w:r w:rsidR="00AB4C09" w:rsidRPr="00AB4C09">
        <w:rPr>
          <w:kern w:val="16"/>
        </w:rPr>
        <w:t>.</w:t>
      </w:r>
      <w:r w:rsidR="00F27B65">
        <w:rPr>
          <w:kern w:val="16"/>
        </w:rPr>
        <w:t xml:space="preserve"> Six 5.3 m long dipoles have been replaced with six </w:t>
      </w:r>
      <w:r w:rsidR="00887F99">
        <w:rPr>
          <w:kern w:val="16"/>
        </w:rPr>
        <w:t>shorter dipole</w:t>
      </w:r>
      <w:r w:rsidR="00F27B65">
        <w:rPr>
          <w:kern w:val="16"/>
        </w:rPr>
        <w:t xml:space="preserve"> magnets (1 m and 0.5 m long). The new lattice configuration is shown in Fig. 3 for the North extension</w:t>
      </w:r>
      <w:r w:rsidR="00840E48">
        <w:rPr>
          <w:kern w:val="16"/>
        </w:rPr>
        <w:t xml:space="preserve"> </w:t>
      </w:r>
      <w:r w:rsidR="00840E48">
        <w:rPr>
          <w:kern w:val="16"/>
          <w:lang w:val="en-US"/>
        </w:rPr>
        <w:t>[</w:t>
      </w:r>
      <w:r w:rsidR="009809EF">
        <w:rPr>
          <w:kern w:val="16"/>
          <w:lang w:val="en-US"/>
        </w:rPr>
        <w:t>3</w:t>
      </w:r>
      <w:proofErr w:type="gramStart"/>
      <w:r w:rsidR="009809EF">
        <w:rPr>
          <w:kern w:val="16"/>
          <w:lang w:val="en-US"/>
        </w:rPr>
        <w:t>,</w:t>
      </w:r>
      <w:r w:rsidR="00840E48">
        <w:rPr>
          <w:kern w:val="16"/>
          <w:lang w:val="en-US"/>
        </w:rPr>
        <w:t>6</w:t>
      </w:r>
      <w:proofErr w:type="gramEnd"/>
      <w:r w:rsidR="00840E48">
        <w:rPr>
          <w:kern w:val="16"/>
          <w:lang w:val="en-US"/>
        </w:rPr>
        <w:t>]</w:t>
      </w:r>
      <w:r w:rsidR="00F27B65">
        <w:rPr>
          <w:kern w:val="16"/>
        </w:rPr>
        <w:t xml:space="preserve">. </w:t>
      </w:r>
      <w:r w:rsidR="00AB4C09" w:rsidRPr="00AB4C09">
        <w:rPr>
          <w:kern w:val="16"/>
        </w:rPr>
        <w:t xml:space="preserve"> </w:t>
      </w:r>
      <w:r w:rsidR="00685F51" w:rsidRPr="00685F51">
        <w:rPr>
          <w:kern w:val="16"/>
        </w:rPr>
        <w:t>A photo of the section is shown in Fig. 4.</w:t>
      </w:r>
    </w:p>
    <w:tbl>
      <w:tblPr>
        <w:tblW w:w="0" w:type="auto"/>
        <w:tblLook w:val="04A0" w:firstRow="1" w:lastRow="0" w:firstColumn="1" w:lastColumn="0" w:noHBand="0" w:noVBand="1"/>
      </w:tblPr>
      <w:tblGrid>
        <w:gridCol w:w="4891"/>
      </w:tblGrid>
      <w:tr w:rsidR="005D7294" w:rsidRPr="00E56880" w:rsidTr="003130CB">
        <w:trPr>
          <w:trHeight w:val="1775"/>
        </w:trPr>
        <w:tc>
          <w:tcPr>
            <w:tcW w:w="4891" w:type="dxa"/>
          </w:tcPr>
          <w:p w:rsidR="005D7294" w:rsidRPr="004A4577" w:rsidRDefault="005D7294" w:rsidP="003130CB">
            <w:pPr>
              <w:pStyle w:val="FigureCaption"/>
              <w:rPr>
                <w:kern w:val="16"/>
              </w:rPr>
            </w:pPr>
            <w:r>
              <w:rPr>
                <w:noProof/>
                <w:kern w:val="16"/>
                <w:lang w:val="en-US"/>
              </w:rPr>
              <w:lastRenderedPageBreak/>
              <w:drawing>
                <wp:inline distT="0" distB="0" distL="0" distR="0" wp14:anchorId="5AB816A9" wp14:editId="634A472F">
                  <wp:extent cx="2861734" cy="1764602"/>
                  <wp:effectExtent l="0" t="0" r="0" b="7620"/>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Figur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0767" cy="1770172"/>
                          </a:xfrm>
                          <a:prstGeom prst="rect">
                            <a:avLst/>
                          </a:prstGeom>
                        </pic:spPr>
                      </pic:pic>
                    </a:graphicData>
                  </a:graphic>
                </wp:inline>
              </w:drawing>
            </w:r>
          </w:p>
        </w:tc>
      </w:tr>
      <w:tr w:rsidR="005D7294" w:rsidRPr="00E56880" w:rsidTr="003130CB">
        <w:tc>
          <w:tcPr>
            <w:tcW w:w="4891" w:type="dxa"/>
          </w:tcPr>
          <w:p w:rsidR="005D7294" w:rsidRPr="004A4577" w:rsidRDefault="005D7294" w:rsidP="003130CB">
            <w:pPr>
              <w:pStyle w:val="FigureCaption"/>
              <w:rPr>
                <w:kern w:val="16"/>
              </w:rPr>
            </w:pPr>
            <w:r>
              <w:rPr>
                <w:kern w:val="16"/>
              </w:rPr>
              <w:t>Figure 3: Optics of the PETRA III extension North.</w:t>
            </w:r>
          </w:p>
        </w:tc>
      </w:tr>
    </w:tbl>
    <w:p w:rsidR="005D7294" w:rsidRDefault="00F27B65" w:rsidP="00F27B65">
      <w:pPr>
        <w:pStyle w:val="BodyTextIndent"/>
        <w:rPr>
          <w:kern w:val="16"/>
        </w:rPr>
      </w:pPr>
      <w:r>
        <w:rPr>
          <w:kern w:val="16"/>
        </w:rPr>
        <w:t xml:space="preserve">The lattice changes imply also </w:t>
      </w:r>
      <w:r w:rsidR="005D7294">
        <w:rPr>
          <w:kern w:val="16"/>
        </w:rPr>
        <w:t>a</w:t>
      </w:r>
      <w:r>
        <w:rPr>
          <w:kern w:val="16"/>
        </w:rPr>
        <w:t xml:space="preserve"> change in the synchrotron integrals I</w:t>
      </w:r>
      <w:r w:rsidRPr="00F27B65">
        <w:rPr>
          <w:kern w:val="16"/>
          <w:vertAlign w:val="subscript"/>
        </w:rPr>
        <w:t>2</w:t>
      </w:r>
      <w:r>
        <w:rPr>
          <w:kern w:val="16"/>
        </w:rPr>
        <w:t xml:space="preserve"> and I</w:t>
      </w:r>
      <w:r w:rsidRPr="00F27B65">
        <w:rPr>
          <w:kern w:val="16"/>
          <w:vertAlign w:val="subscript"/>
        </w:rPr>
        <w:t>5</w:t>
      </w:r>
      <w:r>
        <w:rPr>
          <w:kern w:val="16"/>
        </w:rPr>
        <w:t xml:space="preserve"> resulting in </w:t>
      </w:r>
      <w:r w:rsidR="00CD43BB">
        <w:rPr>
          <w:kern w:val="16"/>
        </w:rPr>
        <w:t>an</w:t>
      </w:r>
      <w:r>
        <w:rPr>
          <w:kern w:val="16"/>
        </w:rPr>
        <w:t xml:space="preserve"> emittance of 1.2 nm, which is 20 % larger than the previously </w:t>
      </w:r>
      <w:r w:rsidR="00D50FE8">
        <w:rPr>
          <w:kern w:val="16"/>
        </w:rPr>
        <w:t>achieved</w:t>
      </w:r>
      <w:r>
        <w:rPr>
          <w:kern w:val="16"/>
        </w:rPr>
        <w:t xml:space="preserve"> emittance of 1 nm [1]. The new design parameters are summarized in Table 1.</w:t>
      </w:r>
      <w:r w:rsidR="00D50FE8">
        <w:rPr>
          <w:kern w:val="16"/>
        </w:rPr>
        <w:t xml:space="preserve"> </w:t>
      </w:r>
      <w:r w:rsidR="005A51F5">
        <w:rPr>
          <w:kern w:val="16"/>
        </w:rPr>
        <w:t>The N</w:t>
      </w:r>
      <w:r w:rsidR="00D50FE8" w:rsidRPr="00D50FE8">
        <w:rPr>
          <w:kern w:val="16"/>
        </w:rPr>
        <w:t xml:space="preserve">orthern straight section accommodates one of </w:t>
      </w:r>
      <w:r w:rsidR="00CF178A">
        <w:rPr>
          <w:kern w:val="16"/>
        </w:rPr>
        <w:t xml:space="preserve">the </w:t>
      </w:r>
      <w:r w:rsidR="00D50FE8" w:rsidRPr="00D50FE8">
        <w:rPr>
          <w:kern w:val="16"/>
        </w:rPr>
        <w:t>damping wiggler arrays producing an extremely hard and powerful x-ray beam which will be utilized for materials science experimen</w:t>
      </w:r>
      <w:r w:rsidR="005A51F5">
        <w:rPr>
          <w:kern w:val="16"/>
        </w:rPr>
        <w:t>ts. The E</w:t>
      </w:r>
      <w:r w:rsidR="00D50FE8" w:rsidRPr="00D50FE8">
        <w:rPr>
          <w:kern w:val="16"/>
        </w:rPr>
        <w:t>astern long straight section is available for additional insertion devices.</w:t>
      </w:r>
      <w:r w:rsidR="00D50FE8">
        <w:rPr>
          <w:kern w:val="16"/>
        </w:rPr>
        <w:t xml:space="preserve"> </w:t>
      </w:r>
      <w:r w:rsidR="003A5D64">
        <w:rPr>
          <w:kern w:val="16"/>
        </w:rPr>
        <w:t>The optics has been modified to realize two straights of a length 5 m.</w:t>
      </w:r>
    </w:p>
    <w:p w:rsidR="00584823" w:rsidRDefault="00584823" w:rsidP="00F27B65">
      <w:pPr>
        <w:pStyle w:val="BodyTextIndent"/>
        <w:rPr>
          <w:kern w:val="16"/>
        </w:rPr>
      </w:pPr>
    </w:p>
    <w:p w:rsidR="00F93A4F" w:rsidRDefault="00F93A4F" w:rsidP="00F93A4F">
      <w:pPr>
        <w:pStyle w:val="TableCaption"/>
        <w:rPr>
          <w:kern w:val="16"/>
        </w:rPr>
      </w:pPr>
      <w:r>
        <w:rPr>
          <w:kern w:val="16"/>
        </w:rPr>
        <w:t xml:space="preserve">Table 1: PETRA III (with Extension) design parameters </w:t>
      </w:r>
    </w:p>
    <w:tbl>
      <w:tblPr>
        <w:tblW w:w="0" w:type="auto"/>
        <w:tblInd w:w="108" w:type="dxa"/>
        <w:tblBorders>
          <w:top w:val="single" w:sz="12" w:space="0" w:color="auto"/>
          <w:bottom w:val="single" w:sz="12" w:space="0" w:color="auto"/>
          <w:insideH w:val="single" w:sz="4" w:space="0" w:color="auto"/>
        </w:tblBorders>
        <w:tblLook w:val="04A0" w:firstRow="1" w:lastRow="0" w:firstColumn="1" w:lastColumn="0" w:noHBand="0" w:noVBand="1"/>
      </w:tblPr>
      <w:tblGrid>
        <w:gridCol w:w="2784"/>
        <w:gridCol w:w="936"/>
        <w:gridCol w:w="936"/>
      </w:tblGrid>
      <w:tr w:rsidR="00F93A4F" w:rsidTr="00C07412">
        <w:tc>
          <w:tcPr>
            <w:tcW w:w="2784" w:type="dxa"/>
            <w:tcBorders>
              <w:top w:val="single" w:sz="12" w:space="0" w:color="auto"/>
              <w:left w:val="nil"/>
              <w:bottom w:val="single" w:sz="12" w:space="0" w:color="auto"/>
              <w:right w:val="nil"/>
            </w:tcBorders>
            <w:hideMark/>
          </w:tcPr>
          <w:p w:rsidR="00F93A4F" w:rsidRDefault="00F93A4F" w:rsidP="00C07412">
            <w:pPr>
              <w:pStyle w:val="TableCaption"/>
              <w:jc w:val="left"/>
              <w:rPr>
                <w:b/>
                <w:bCs/>
                <w:kern w:val="16"/>
                <w:sz w:val="18"/>
                <w:szCs w:val="18"/>
              </w:rPr>
            </w:pPr>
            <w:r>
              <w:rPr>
                <w:b/>
                <w:bCs/>
                <w:kern w:val="16"/>
                <w:sz w:val="18"/>
                <w:szCs w:val="18"/>
              </w:rPr>
              <w:t>Parameter</w:t>
            </w:r>
          </w:p>
        </w:tc>
        <w:tc>
          <w:tcPr>
            <w:tcW w:w="1872" w:type="dxa"/>
            <w:gridSpan w:val="2"/>
            <w:tcBorders>
              <w:top w:val="single" w:sz="12" w:space="0" w:color="auto"/>
              <w:left w:val="nil"/>
              <w:bottom w:val="single" w:sz="12" w:space="0" w:color="auto"/>
              <w:right w:val="nil"/>
            </w:tcBorders>
            <w:hideMark/>
          </w:tcPr>
          <w:p w:rsidR="00F93A4F" w:rsidRDefault="00F93A4F" w:rsidP="00C07412">
            <w:pPr>
              <w:pStyle w:val="TableCaption"/>
              <w:rPr>
                <w:b/>
                <w:bCs/>
                <w:kern w:val="16"/>
                <w:sz w:val="18"/>
                <w:szCs w:val="18"/>
              </w:rPr>
            </w:pPr>
            <w:r>
              <w:rPr>
                <w:b/>
                <w:bCs/>
                <w:kern w:val="16"/>
                <w:sz w:val="18"/>
                <w:szCs w:val="18"/>
              </w:rPr>
              <w:t>PETRA III</w:t>
            </w:r>
          </w:p>
        </w:tc>
      </w:tr>
      <w:tr w:rsidR="00F93A4F" w:rsidTr="00C07412">
        <w:trPr>
          <w:trHeight w:val="241"/>
        </w:trPr>
        <w:tc>
          <w:tcPr>
            <w:tcW w:w="2784" w:type="dxa"/>
            <w:tcBorders>
              <w:top w:val="single" w:sz="12" w:space="0" w:color="auto"/>
              <w:left w:val="nil"/>
              <w:bottom w:val="single" w:sz="4" w:space="0" w:color="auto"/>
              <w:right w:val="nil"/>
            </w:tcBorders>
            <w:hideMark/>
          </w:tcPr>
          <w:p w:rsidR="00F93A4F" w:rsidRDefault="00F93A4F" w:rsidP="00C07412">
            <w:pPr>
              <w:pStyle w:val="TableCaption"/>
              <w:jc w:val="left"/>
              <w:rPr>
                <w:kern w:val="16"/>
                <w:sz w:val="18"/>
                <w:szCs w:val="18"/>
              </w:rPr>
            </w:pPr>
            <w:r>
              <w:rPr>
                <w:kern w:val="16"/>
                <w:sz w:val="18"/>
                <w:szCs w:val="18"/>
              </w:rPr>
              <w:t>Energy / GeV</w:t>
            </w:r>
          </w:p>
        </w:tc>
        <w:tc>
          <w:tcPr>
            <w:tcW w:w="1872" w:type="dxa"/>
            <w:gridSpan w:val="2"/>
            <w:tcBorders>
              <w:top w:val="single" w:sz="12" w:space="0" w:color="auto"/>
              <w:left w:val="nil"/>
              <w:bottom w:val="single" w:sz="4" w:space="0" w:color="auto"/>
              <w:right w:val="nil"/>
            </w:tcBorders>
            <w:hideMark/>
          </w:tcPr>
          <w:p w:rsidR="00F93A4F" w:rsidRDefault="00F93A4F" w:rsidP="00C07412">
            <w:pPr>
              <w:pStyle w:val="TableCaption"/>
              <w:rPr>
                <w:kern w:val="16"/>
                <w:sz w:val="18"/>
                <w:szCs w:val="18"/>
              </w:rPr>
            </w:pPr>
            <w:r>
              <w:rPr>
                <w:kern w:val="16"/>
                <w:sz w:val="18"/>
                <w:szCs w:val="18"/>
              </w:rPr>
              <w:t>6</w:t>
            </w:r>
          </w:p>
        </w:tc>
      </w:tr>
      <w:tr w:rsidR="00F93A4F" w:rsidTr="00C07412">
        <w:tc>
          <w:tcPr>
            <w:tcW w:w="2784" w:type="dxa"/>
            <w:tcBorders>
              <w:top w:val="single" w:sz="4" w:space="0" w:color="auto"/>
              <w:left w:val="nil"/>
              <w:bottom w:val="single" w:sz="4" w:space="0" w:color="auto"/>
              <w:right w:val="nil"/>
            </w:tcBorders>
            <w:hideMark/>
          </w:tcPr>
          <w:p w:rsidR="00F93A4F" w:rsidRDefault="00F93A4F" w:rsidP="00C07412">
            <w:pPr>
              <w:pStyle w:val="TableCaption"/>
              <w:jc w:val="left"/>
              <w:rPr>
                <w:kern w:val="16"/>
                <w:sz w:val="18"/>
                <w:szCs w:val="18"/>
              </w:rPr>
            </w:pPr>
            <w:r>
              <w:rPr>
                <w:kern w:val="16"/>
                <w:sz w:val="18"/>
                <w:szCs w:val="18"/>
              </w:rPr>
              <w:t>Circumference /m</w:t>
            </w:r>
          </w:p>
        </w:tc>
        <w:tc>
          <w:tcPr>
            <w:tcW w:w="1872" w:type="dxa"/>
            <w:gridSpan w:val="2"/>
            <w:tcBorders>
              <w:top w:val="single" w:sz="4" w:space="0" w:color="auto"/>
              <w:left w:val="nil"/>
              <w:bottom w:val="single" w:sz="4" w:space="0" w:color="auto"/>
              <w:right w:val="nil"/>
            </w:tcBorders>
            <w:hideMark/>
          </w:tcPr>
          <w:p w:rsidR="00F93A4F" w:rsidRDefault="00F93A4F" w:rsidP="00C07412">
            <w:pPr>
              <w:pStyle w:val="TableCaption"/>
              <w:rPr>
                <w:kern w:val="16"/>
                <w:sz w:val="18"/>
                <w:szCs w:val="18"/>
              </w:rPr>
            </w:pPr>
            <w:r>
              <w:rPr>
                <w:kern w:val="16"/>
                <w:sz w:val="18"/>
                <w:szCs w:val="18"/>
              </w:rPr>
              <w:t>2304</w:t>
            </w:r>
          </w:p>
        </w:tc>
      </w:tr>
      <w:tr w:rsidR="00F93A4F" w:rsidTr="00C07412">
        <w:tc>
          <w:tcPr>
            <w:tcW w:w="2784" w:type="dxa"/>
            <w:tcBorders>
              <w:top w:val="single" w:sz="4" w:space="0" w:color="auto"/>
              <w:left w:val="nil"/>
              <w:bottom w:val="single" w:sz="4" w:space="0" w:color="auto"/>
              <w:right w:val="nil"/>
            </w:tcBorders>
            <w:hideMark/>
          </w:tcPr>
          <w:p w:rsidR="00F93A4F" w:rsidRDefault="00F93A4F" w:rsidP="00C07412">
            <w:pPr>
              <w:pStyle w:val="TableCaption"/>
              <w:jc w:val="left"/>
              <w:rPr>
                <w:kern w:val="16"/>
                <w:sz w:val="18"/>
                <w:szCs w:val="18"/>
              </w:rPr>
            </w:pPr>
            <w:r>
              <w:rPr>
                <w:kern w:val="16"/>
                <w:sz w:val="18"/>
                <w:szCs w:val="18"/>
              </w:rPr>
              <w:t>Emittance (</w:t>
            </w:r>
            <w:proofErr w:type="spellStart"/>
            <w:r>
              <w:rPr>
                <w:kern w:val="16"/>
                <w:sz w:val="18"/>
                <w:szCs w:val="18"/>
              </w:rPr>
              <w:t>horz</w:t>
            </w:r>
            <w:proofErr w:type="spellEnd"/>
            <w:r>
              <w:rPr>
                <w:kern w:val="16"/>
                <w:sz w:val="18"/>
                <w:szCs w:val="18"/>
              </w:rPr>
              <w:t xml:space="preserve">. / </w:t>
            </w:r>
            <w:proofErr w:type="gramStart"/>
            <w:r>
              <w:rPr>
                <w:kern w:val="16"/>
                <w:sz w:val="18"/>
                <w:szCs w:val="18"/>
              </w:rPr>
              <w:t>vert</w:t>
            </w:r>
            <w:proofErr w:type="gramEnd"/>
            <w:r>
              <w:rPr>
                <w:kern w:val="16"/>
                <w:sz w:val="18"/>
                <w:szCs w:val="18"/>
              </w:rPr>
              <w:t>.) /nm</w:t>
            </w:r>
          </w:p>
        </w:tc>
        <w:tc>
          <w:tcPr>
            <w:tcW w:w="1872" w:type="dxa"/>
            <w:gridSpan w:val="2"/>
            <w:tcBorders>
              <w:top w:val="single" w:sz="4" w:space="0" w:color="auto"/>
              <w:left w:val="nil"/>
              <w:bottom w:val="single" w:sz="4" w:space="0" w:color="auto"/>
              <w:right w:val="nil"/>
            </w:tcBorders>
            <w:hideMark/>
          </w:tcPr>
          <w:p w:rsidR="00F93A4F" w:rsidRDefault="006F27DC" w:rsidP="00C07412">
            <w:pPr>
              <w:pStyle w:val="TableCaption"/>
              <w:rPr>
                <w:kern w:val="16"/>
                <w:sz w:val="18"/>
                <w:szCs w:val="18"/>
              </w:rPr>
            </w:pPr>
            <w:r>
              <w:rPr>
                <w:kern w:val="16"/>
                <w:sz w:val="18"/>
                <w:szCs w:val="18"/>
              </w:rPr>
              <w:t xml:space="preserve">1.2  /  </w:t>
            </w:r>
            <w:r w:rsidR="00F93A4F">
              <w:rPr>
                <w:kern w:val="16"/>
                <w:sz w:val="18"/>
                <w:szCs w:val="18"/>
              </w:rPr>
              <w:t xml:space="preserve"> 0.0</w:t>
            </w:r>
            <w:r>
              <w:rPr>
                <w:kern w:val="16"/>
                <w:sz w:val="18"/>
                <w:szCs w:val="18"/>
              </w:rPr>
              <w:t>1</w:t>
            </w:r>
            <w:r w:rsidR="00F93A4F">
              <w:rPr>
                <w:kern w:val="16"/>
                <w:sz w:val="18"/>
                <w:szCs w:val="18"/>
              </w:rPr>
              <w:t>2</w:t>
            </w:r>
          </w:p>
        </w:tc>
      </w:tr>
      <w:tr w:rsidR="00F93A4F" w:rsidTr="00C07412">
        <w:tc>
          <w:tcPr>
            <w:tcW w:w="2784" w:type="dxa"/>
            <w:tcBorders>
              <w:top w:val="single" w:sz="4" w:space="0" w:color="auto"/>
              <w:left w:val="nil"/>
              <w:bottom w:val="single" w:sz="4" w:space="0" w:color="auto"/>
              <w:right w:val="nil"/>
            </w:tcBorders>
            <w:hideMark/>
          </w:tcPr>
          <w:p w:rsidR="00F93A4F" w:rsidRDefault="00F93A4F" w:rsidP="00C07412">
            <w:pPr>
              <w:pStyle w:val="TableCaption"/>
              <w:jc w:val="left"/>
              <w:rPr>
                <w:kern w:val="16"/>
                <w:sz w:val="18"/>
                <w:szCs w:val="18"/>
              </w:rPr>
            </w:pPr>
            <w:r>
              <w:rPr>
                <w:kern w:val="16"/>
                <w:sz w:val="18"/>
                <w:szCs w:val="18"/>
              </w:rPr>
              <w:t>Total current / mA</w:t>
            </w:r>
          </w:p>
        </w:tc>
        <w:tc>
          <w:tcPr>
            <w:tcW w:w="1872" w:type="dxa"/>
            <w:gridSpan w:val="2"/>
            <w:tcBorders>
              <w:top w:val="single" w:sz="4" w:space="0" w:color="auto"/>
              <w:left w:val="nil"/>
              <w:bottom w:val="single" w:sz="4" w:space="0" w:color="auto"/>
              <w:right w:val="nil"/>
            </w:tcBorders>
            <w:hideMark/>
          </w:tcPr>
          <w:p w:rsidR="00F93A4F" w:rsidRDefault="00F93A4F" w:rsidP="00C07412">
            <w:pPr>
              <w:pStyle w:val="TableCaption"/>
              <w:rPr>
                <w:kern w:val="16"/>
                <w:sz w:val="18"/>
                <w:szCs w:val="18"/>
              </w:rPr>
            </w:pPr>
            <w:r>
              <w:rPr>
                <w:kern w:val="16"/>
                <w:sz w:val="18"/>
                <w:szCs w:val="18"/>
              </w:rPr>
              <w:t>100</w:t>
            </w:r>
          </w:p>
        </w:tc>
      </w:tr>
      <w:tr w:rsidR="00F93A4F" w:rsidTr="00C07412">
        <w:tc>
          <w:tcPr>
            <w:tcW w:w="2784" w:type="dxa"/>
            <w:tcBorders>
              <w:top w:val="single" w:sz="4" w:space="0" w:color="auto"/>
              <w:left w:val="nil"/>
              <w:bottom w:val="single" w:sz="4" w:space="0" w:color="auto"/>
              <w:right w:val="nil"/>
            </w:tcBorders>
            <w:hideMark/>
          </w:tcPr>
          <w:p w:rsidR="00F93A4F" w:rsidRDefault="00F93A4F" w:rsidP="00C07412">
            <w:pPr>
              <w:pStyle w:val="TableCaption"/>
              <w:jc w:val="left"/>
              <w:rPr>
                <w:kern w:val="16"/>
                <w:sz w:val="18"/>
                <w:szCs w:val="18"/>
              </w:rPr>
            </w:pPr>
            <w:r>
              <w:rPr>
                <w:kern w:val="16"/>
                <w:sz w:val="18"/>
                <w:szCs w:val="18"/>
              </w:rPr>
              <w:t>Number of bunches</w:t>
            </w:r>
          </w:p>
        </w:tc>
        <w:tc>
          <w:tcPr>
            <w:tcW w:w="936" w:type="dxa"/>
            <w:tcBorders>
              <w:top w:val="single" w:sz="4" w:space="0" w:color="auto"/>
              <w:left w:val="nil"/>
              <w:bottom w:val="single" w:sz="4" w:space="0" w:color="auto"/>
              <w:right w:val="nil"/>
            </w:tcBorders>
            <w:hideMark/>
          </w:tcPr>
          <w:p w:rsidR="00F93A4F" w:rsidRDefault="00F93A4F" w:rsidP="00C07412">
            <w:pPr>
              <w:pStyle w:val="TableCaption"/>
              <w:rPr>
                <w:kern w:val="16"/>
                <w:sz w:val="18"/>
                <w:szCs w:val="18"/>
              </w:rPr>
            </w:pPr>
            <w:r>
              <w:rPr>
                <w:kern w:val="16"/>
                <w:sz w:val="18"/>
                <w:szCs w:val="18"/>
              </w:rPr>
              <w:t>960</w:t>
            </w:r>
          </w:p>
        </w:tc>
        <w:tc>
          <w:tcPr>
            <w:tcW w:w="936" w:type="dxa"/>
            <w:tcBorders>
              <w:top w:val="single" w:sz="4" w:space="0" w:color="auto"/>
              <w:left w:val="nil"/>
              <w:bottom w:val="single" w:sz="4" w:space="0" w:color="auto"/>
              <w:right w:val="nil"/>
            </w:tcBorders>
            <w:hideMark/>
          </w:tcPr>
          <w:p w:rsidR="00F93A4F" w:rsidRDefault="00F93A4F" w:rsidP="00C07412">
            <w:pPr>
              <w:pStyle w:val="TableCaption"/>
              <w:rPr>
                <w:kern w:val="16"/>
                <w:sz w:val="18"/>
                <w:szCs w:val="18"/>
              </w:rPr>
            </w:pPr>
            <w:r>
              <w:rPr>
                <w:kern w:val="16"/>
                <w:sz w:val="18"/>
                <w:szCs w:val="18"/>
              </w:rPr>
              <w:t>40</w:t>
            </w:r>
          </w:p>
        </w:tc>
      </w:tr>
      <w:tr w:rsidR="00F93A4F" w:rsidTr="00C07412">
        <w:tc>
          <w:tcPr>
            <w:tcW w:w="2784" w:type="dxa"/>
            <w:tcBorders>
              <w:top w:val="single" w:sz="4" w:space="0" w:color="auto"/>
              <w:left w:val="nil"/>
              <w:bottom w:val="single" w:sz="4" w:space="0" w:color="auto"/>
              <w:right w:val="nil"/>
            </w:tcBorders>
            <w:hideMark/>
          </w:tcPr>
          <w:p w:rsidR="00F93A4F" w:rsidRDefault="00F93A4F" w:rsidP="00C07412">
            <w:pPr>
              <w:pStyle w:val="TableCaption"/>
              <w:jc w:val="left"/>
              <w:rPr>
                <w:kern w:val="16"/>
                <w:sz w:val="18"/>
                <w:szCs w:val="18"/>
              </w:rPr>
            </w:pPr>
            <w:r>
              <w:rPr>
                <w:kern w:val="16"/>
                <w:sz w:val="18"/>
                <w:szCs w:val="18"/>
              </w:rPr>
              <w:t>Bunch population / 10</w:t>
            </w:r>
            <w:r>
              <w:rPr>
                <w:kern w:val="16"/>
                <w:sz w:val="18"/>
                <w:szCs w:val="18"/>
                <w:vertAlign w:val="superscript"/>
              </w:rPr>
              <w:t>10</w:t>
            </w:r>
          </w:p>
        </w:tc>
        <w:tc>
          <w:tcPr>
            <w:tcW w:w="936" w:type="dxa"/>
            <w:tcBorders>
              <w:top w:val="single" w:sz="4" w:space="0" w:color="auto"/>
              <w:left w:val="nil"/>
              <w:bottom w:val="single" w:sz="4" w:space="0" w:color="auto"/>
              <w:right w:val="nil"/>
            </w:tcBorders>
            <w:hideMark/>
          </w:tcPr>
          <w:p w:rsidR="00F93A4F" w:rsidRDefault="00F93A4F" w:rsidP="00C07412">
            <w:pPr>
              <w:pStyle w:val="TableCaption"/>
              <w:rPr>
                <w:kern w:val="16"/>
                <w:sz w:val="18"/>
                <w:szCs w:val="18"/>
              </w:rPr>
            </w:pPr>
            <w:r>
              <w:rPr>
                <w:kern w:val="16"/>
                <w:sz w:val="18"/>
                <w:szCs w:val="18"/>
              </w:rPr>
              <w:t>0.5</w:t>
            </w:r>
          </w:p>
        </w:tc>
        <w:tc>
          <w:tcPr>
            <w:tcW w:w="936" w:type="dxa"/>
            <w:tcBorders>
              <w:top w:val="single" w:sz="4" w:space="0" w:color="auto"/>
              <w:left w:val="nil"/>
              <w:bottom w:val="single" w:sz="4" w:space="0" w:color="auto"/>
              <w:right w:val="nil"/>
            </w:tcBorders>
            <w:hideMark/>
          </w:tcPr>
          <w:p w:rsidR="00F93A4F" w:rsidRDefault="00F93A4F" w:rsidP="00C07412">
            <w:pPr>
              <w:pStyle w:val="TableCaption"/>
              <w:rPr>
                <w:kern w:val="16"/>
                <w:sz w:val="18"/>
                <w:szCs w:val="18"/>
              </w:rPr>
            </w:pPr>
            <w:r>
              <w:rPr>
                <w:kern w:val="16"/>
                <w:sz w:val="18"/>
                <w:szCs w:val="18"/>
              </w:rPr>
              <w:t>12</w:t>
            </w:r>
          </w:p>
        </w:tc>
      </w:tr>
      <w:tr w:rsidR="00F93A4F" w:rsidTr="00C07412">
        <w:tc>
          <w:tcPr>
            <w:tcW w:w="2784" w:type="dxa"/>
            <w:tcBorders>
              <w:top w:val="single" w:sz="4" w:space="0" w:color="auto"/>
              <w:left w:val="nil"/>
              <w:bottom w:val="single" w:sz="12" w:space="0" w:color="auto"/>
              <w:right w:val="nil"/>
            </w:tcBorders>
            <w:hideMark/>
          </w:tcPr>
          <w:p w:rsidR="00F93A4F" w:rsidRDefault="00F93A4F" w:rsidP="00C07412">
            <w:pPr>
              <w:pStyle w:val="TableCaption"/>
              <w:jc w:val="left"/>
              <w:rPr>
                <w:kern w:val="16"/>
                <w:sz w:val="18"/>
                <w:szCs w:val="18"/>
              </w:rPr>
            </w:pPr>
            <w:r>
              <w:rPr>
                <w:kern w:val="16"/>
                <w:sz w:val="18"/>
                <w:szCs w:val="18"/>
              </w:rPr>
              <w:t>Bunch separation / ns</w:t>
            </w:r>
          </w:p>
        </w:tc>
        <w:tc>
          <w:tcPr>
            <w:tcW w:w="936" w:type="dxa"/>
            <w:tcBorders>
              <w:top w:val="single" w:sz="4" w:space="0" w:color="auto"/>
              <w:left w:val="nil"/>
              <w:bottom w:val="single" w:sz="12" w:space="0" w:color="auto"/>
              <w:right w:val="nil"/>
            </w:tcBorders>
            <w:hideMark/>
          </w:tcPr>
          <w:p w:rsidR="00F93A4F" w:rsidRDefault="00F93A4F" w:rsidP="00C07412">
            <w:pPr>
              <w:pStyle w:val="TableCaption"/>
              <w:rPr>
                <w:kern w:val="16"/>
                <w:sz w:val="18"/>
                <w:szCs w:val="18"/>
              </w:rPr>
            </w:pPr>
            <w:r>
              <w:rPr>
                <w:kern w:val="16"/>
                <w:sz w:val="18"/>
                <w:szCs w:val="18"/>
              </w:rPr>
              <w:t>8</w:t>
            </w:r>
          </w:p>
        </w:tc>
        <w:tc>
          <w:tcPr>
            <w:tcW w:w="936" w:type="dxa"/>
            <w:tcBorders>
              <w:top w:val="single" w:sz="4" w:space="0" w:color="auto"/>
              <w:left w:val="nil"/>
              <w:bottom w:val="single" w:sz="12" w:space="0" w:color="auto"/>
              <w:right w:val="nil"/>
            </w:tcBorders>
            <w:hideMark/>
          </w:tcPr>
          <w:p w:rsidR="00F93A4F" w:rsidRDefault="00F93A4F" w:rsidP="00C07412">
            <w:pPr>
              <w:pStyle w:val="TableCaption"/>
              <w:rPr>
                <w:kern w:val="16"/>
                <w:sz w:val="18"/>
                <w:szCs w:val="18"/>
              </w:rPr>
            </w:pPr>
            <w:r>
              <w:rPr>
                <w:kern w:val="16"/>
                <w:sz w:val="18"/>
                <w:szCs w:val="18"/>
              </w:rPr>
              <w:t>192</w:t>
            </w:r>
          </w:p>
        </w:tc>
      </w:tr>
    </w:tbl>
    <w:p w:rsidR="00F93A4F" w:rsidRDefault="00F93A4F" w:rsidP="00F27B65">
      <w:pPr>
        <w:pStyle w:val="BodyTextIndent"/>
        <w:rPr>
          <w:kern w:val="16"/>
        </w:rPr>
      </w:pPr>
    </w:p>
    <w:p w:rsidR="006839C6" w:rsidRDefault="006839C6">
      <w:pPr>
        <w:pStyle w:val="Heading2"/>
      </w:pPr>
      <w:r>
        <w:t>Commissioning</w:t>
      </w:r>
    </w:p>
    <w:p w:rsidR="0044648E" w:rsidRDefault="0044648E" w:rsidP="0044648E">
      <w:pPr>
        <w:pStyle w:val="SubsectionHeading"/>
      </w:pPr>
      <w:r>
        <w:t>Goals and constrains</w:t>
      </w:r>
    </w:p>
    <w:p w:rsidR="00D50FE8" w:rsidRDefault="007A3DFB" w:rsidP="00EC27FA">
      <w:pPr>
        <w:pStyle w:val="BodyTextIndent"/>
        <w:rPr>
          <w:kern w:val="16"/>
        </w:rPr>
      </w:pPr>
      <w:r>
        <w:rPr>
          <w:kern w:val="16"/>
        </w:rPr>
        <w:t>One of the essential goals of the extension project was t</w:t>
      </w:r>
      <w:r w:rsidR="00D50FE8">
        <w:rPr>
          <w:kern w:val="16"/>
        </w:rPr>
        <w:t>o minimize the idle time for the already existing 14 beam lines</w:t>
      </w:r>
      <w:r>
        <w:rPr>
          <w:kern w:val="16"/>
        </w:rPr>
        <w:t xml:space="preserve"> and to re-establish good conditions for user runs for these</w:t>
      </w:r>
      <w:r w:rsidR="006D4221">
        <w:rPr>
          <w:kern w:val="16"/>
        </w:rPr>
        <w:t xml:space="preserve"> </w:t>
      </w:r>
      <w:proofErr w:type="spellStart"/>
      <w:r w:rsidR="006D4221">
        <w:rPr>
          <w:kern w:val="16"/>
        </w:rPr>
        <w:t>beam</w:t>
      </w:r>
      <w:r w:rsidR="00017D0C">
        <w:rPr>
          <w:kern w:val="16"/>
        </w:rPr>
        <w:t>lines</w:t>
      </w:r>
      <w:proofErr w:type="spellEnd"/>
      <w:r w:rsidR="00017D0C">
        <w:rPr>
          <w:kern w:val="16"/>
        </w:rPr>
        <w:t xml:space="preserve"> before the new </w:t>
      </w:r>
      <w:proofErr w:type="spellStart"/>
      <w:r w:rsidR="00017D0C">
        <w:rPr>
          <w:kern w:val="16"/>
        </w:rPr>
        <w:t>beam</w:t>
      </w:r>
      <w:r>
        <w:rPr>
          <w:kern w:val="16"/>
        </w:rPr>
        <w:t>line</w:t>
      </w:r>
      <w:r w:rsidR="00CD43BB">
        <w:rPr>
          <w:kern w:val="16"/>
        </w:rPr>
        <w:t>s</w:t>
      </w:r>
      <w:proofErr w:type="spellEnd"/>
      <w:r>
        <w:rPr>
          <w:kern w:val="16"/>
        </w:rPr>
        <w:t xml:space="preserve"> are </w:t>
      </w:r>
      <w:r w:rsidR="00EC27FA">
        <w:rPr>
          <w:kern w:val="16"/>
        </w:rPr>
        <w:t>becoming</w:t>
      </w:r>
      <w:r>
        <w:rPr>
          <w:kern w:val="16"/>
        </w:rPr>
        <w:t xml:space="preserve"> operational </w:t>
      </w:r>
      <w:r w:rsidR="00EC27FA">
        <w:rPr>
          <w:kern w:val="16"/>
        </w:rPr>
        <w:t>step by step. T</w:t>
      </w:r>
      <w:r w:rsidR="00D50FE8">
        <w:rPr>
          <w:kern w:val="16"/>
        </w:rPr>
        <w:t>he</w:t>
      </w:r>
      <w:r w:rsidR="00EC27FA">
        <w:rPr>
          <w:kern w:val="16"/>
        </w:rPr>
        <w:t xml:space="preserve">refore </w:t>
      </w:r>
      <w:r w:rsidR="001112A5">
        <w:rPr>
          <w:kern w:val="16"/>
        </w:rPr>
        <w:t>the time</w:t>
      </w:r>
      <w:r w:rsidR="00D50FE8">
        <w:rPr>
          <w:kern w:val="16"/>
        </w:rPr>
        <w:t xml:space="preserve"> to rebuild and</w:t>
      </w:r>
      <w:r w:rsidR="00050A71">
        <w:rPr>
          <w:kern w:val="16"/>
        </w:rPr>
        <w:t xml:space="preserve"> </w:t>
      </w:r>
      <w:proofErr w:type="spellStart"/>
      <w:r w:rsidR="00CF178A">
        <w:rPr>
          <w:kern w:val="16"/>
        </w:rPr>
        <w:t>re</w:t>
      </w:r>
      <w:r w:rsidR="00D50FE8" w:rsidRPr="00D50FE8">
        <w:rPr>
          <w:kern w:val="16"/>
        </w:rPr>
        <w:t>commission</w:t>
      </w:r>
      <w:proofErr w:type="spellEnd"/>
      <w:r w:rsidR="00D50FE8">
        <w:rPr>
          <w:kern w:val="16"/>
        </w:rPr>
        <w:t xml:space="preserve"> the machine </w:t>
      </w:r>
      <w:r w:rsidR="00050A71">
        <w:rPr>
          <w:kern w:val="16"/>
        </w:rPr>
        <w:t>was planned to be only one year.</w:t>
      </w:r>
      <w:r w:rsidR="00227D13">
        <w:rPr>
          <w:kern w:val="16"/>
        </w:rPr>
        <w:t xml:space="preserve"> </w:t>
      </w:r>
      <w:r w:rsidR="005A51F5">
        <w:rPr>
          <w:kern w:val="16"/>
        </w:rPr>
        <w:t>The</w:t>
      </w:r>
      <w:r w:rsidR="00227D13">
        <w:rPr>
          <w:kern w:val="16"/>
        </w:rPr>
        <w:t xml:space="preserve"> shut-down </w:t>
      </w:r>
      <w:r w:rsidR="00CF178A">
        <w:rPr>
          <w:kern w:val="16"/>
        </w:rPr>
        <w:t xml:space="preserve">started in Feb. 2014 and the </w:t>
      </w:r>
      <w:proofErr w:type="spellStart"/>
      <w:r w:rsidR="00CF178A">
        <w:rPr>
          <w:kern w:val="16"/>
        </w:rPr>
        <w:t>re</w:t>
      </w:r>
      <w:r w:rsidR="00227D13">
        <w:rPr>
          <w:kern w:val="16"/>
        </w:rPr>
        <w:t>commissioning</w:t>
      </w:r>
      <w:proofErr w:type="spellEnd"/>
      <w:r w:rsidR="00227D13">
        <w:rPr>
          <w:kern w:val="16"/>
        </w:rPr>
        <w:t xml:space="preserve"> with beam started in Feb. 2015</w:t>
      </w:r>
      <w:r w:rsidR="00EC27FA">
        <w:rPr>
          <w:kern w:val="16"/>
        </w:rPr>
        <w:t xml:space="preserve"> on schedule</w:t>
      </w:r>
      <w:r w:rsidR="00227D13">
        <w:rPr>
          <w:kern w:val="16"/>
        </w:rPr>
        <w:t>.</w:t>
      </w:r>
      <w:r w:rsidR="00D50FE8">
        <w:rPr>
          <w:kern w:val="16"/>
        </w:rPr>
        <w:t xml:space="preserve"> </w:t>
      </w:r>
    </w:p>
    <w:p w:rsidR="00E36695" w:rsidRDefault="00E36695" w:rsidP="00EC27FA">
      <w:pPr>
        <w:pStyle w:val="BodyTextIndent"/>
        <w:rPr>
          <w:kern w:val="16"/>
        </w:rPr>
      </w:pPr>
      <w:r w:rsidRPr="00E36695">
        <w:rPr>
          <w:kern w:val="16"/>
        </w:rPr>
        <w:t>Care has been taken to minimize the effort for development of hardware components.</w:t>
      </w:r>
      <w:r>
        <w:rPr>
          <w:kern w:val="16"/>
        </w:rPr>
        <w:t xml:space="preserve"> </w:t>
      </w:r>
      <w:r w:rsidRPr="00E36695">
        <w:rPr>
          <w:kern w:val="16"/>
        </w:rPr>
        <w:t>For the magnets in the extension regions basically the same design as for PETRA III magnets</w:t>
      </w:r>
      <w:r w:rsidR="00755ADB">
        <w:rPr>
          <w:kern w:val="16"/>
        </w:rPr>
        <w:t xml:space="preserve"> [7]</w:t>
      </w:r>
      <w:r w:rsidRPr="00E36695">
        <w:rPr>
          <w:kern w:val="16"/>
        </w:rPr>
        <w:t xml:space="preserve"> was used.</w:t>
      </w:r>
      <w:r w:rsidR="00755ADB">
        <w:rPr>
          <w:kern w:val="16"/>
        </w:rPr>
        <w:t xml:space="preserve"> Also t</w:t>
      </w:r>
      <w:r w:rsidR="00755ADB" w:rsidRPr="00755ADB">
        <w:rPr>
          <w:kern w:val="16"/>
        </w:rPr>
        <w:t xml:space="preserve">he vacuum </w:t>
      </w:r>
      <w:r w:rsidR="00755ADB" w:rsidRPr="00755ADB">
        <w:rPr>
          <w:kern w:val="16"/>
        </w:rPr>
        <w:lastRenderedPageBreak/>
        <w:t>system for the new sections was developed along the lines set up for PETRA III [</w:t>
      </w:r>
      <w:r w:rsidR="00755ADB">
        <w:rPr>
          <w:kern w:val="16"/>
        </w:rPr>
        <w:t xml:space="preserve">8, </w:t>
      </w:r>
      <w:r w:rsidR="00755ADB" w:rsidRPr="00755ADB">
        <w:rPr>
          <w:kern w:val="16"/>
        </w:rPr>
        <w:t>9].</w:t>
      </w:r>
    </w:p>
    <w:p w:rsidR="0044648E" w:rsidRDefault="0044648E" w:rsidP="0044648E">
      <w:pPr>
        <w:pStyle w:val="SubsectionHeading"/>
      </w:pPr>
      <w:r>
        <w:t>Short Chronology of the commissioning steps</w:t>
      </w:r>
    </w:p>
    <w:p w:rsidR="006839C6" w:rsidRDefault="005C117A" w:rsidP="00456391">
      <w:pPr>
        <w:pStyle w:val="BodyTextIndent"/>
        <w:rPr>
          <w:kern w:val="16"/>
        </w:rPr>
      </w:pPr>
      <w:r>
        <w:rPr>
          <w:kern w:val="16"/>
        </w:rPr>
        <w:t xml:space="preserve">In January and February 2015 last cabling work and the technical commissioning of the power supplies were completed. </w:t>
      </w:r>
      <w:r w:rsidR="00837AC4">
        <w:rPr>
          <w:kern w:val="16"/>
        </w:rPr>
        <w:t xml:space="preserve">First turn steering started on Feb. 6 and ten days later it was possible to accumulate about 1 mA beam in the PETRA ring. </w:t>
      </w:r>
      <w:r w:rsidR="00456391">
        <w:rPr>
          <w:kern w:val="16"/>
        </w:rPr>
        <w:t xml:space="preserve">During this early period of the re-commissioning it was essential to identify a severe optics error due to </w:t>
      </w:r>
      <w:proofErr w:type="gramStart"/>
      <w:r w:rsidR="00456391">
        <w:rPr>
          <w:kern w:val="16"/>
        </w:rPr>
        <w:t>a non</w:t>
      </w:r>
      <w:proofErr w:type="gramEnd"/>
      <w:r w:rsidR="00456391">
        <w:rPr>
          <w:kern w:val="16"/>
        </w:rPr>
        <w:t>-conformity in the electronics of the controller of a quadrupole power supply which resulted in an e</w:t>
      </w:r>
      <w:r w:rsidR="00F27B4F">
        <w:rPr>
          <w:kern w:val="16"/>
        </w:rPr>
        <w:t>ffec</w:t>
      </w:r>
      <w:r w:rsidR="00F07718">
        <w:rPr>
          <w:kern w:val="16"/>
        </w:rPr>
        <w:t>tive gradient error of 37</w:t>
      </w:r>
      <w:r w:rsidR="00F27B4F">
        <w:rPr>
          <w:kern w:val="16"/>
        </w:rPr>
        <w:t xml:space="preserve"> % due to a wrongly set magnet current which was not</w:t>
      </w:r>
      <w:r w:rsidR="00704BBB">
        <w:rPr>
          <w:kern w:val="16"/>
        </w:rPr>
        <w:t xml:space="preserve"> </w:t>
      </w:r>
      <w:r w:rsidR="00F07718">
        <w:rPr>
          <w:kern w:val="16"/>
        </w:rPr>
        <w:t>properly displayed</w:t>
      </w:r>
      <w:r w:rsidR="00F27B4F">
        <w:rPr>
          <w:kern w:val="16"/>
        </w:rPr>
        <w:t xml:space="preserve"> in the control system. The transverse and longitudinal multi bunch feedback systems were quickly operational and it was possible to store higher beam currents after Feb. 18 which</w:t>
      </w:r>
      <w:r w:rsidR="00A66B60">
        <w:rPr>
          <w:kern w:val="16"/>
        </w:rPr>
        <w:t xml:space="preserve"> was also important to condition the vacuum system. </w:t>
      </w:r>
    </w:p>
    <w:p w:rsidR="00AE3239" w:rsidRDefault="00A66B60" w:rsidP="005E2809">
      <w:pPr>
        <w:pStyle w:val="BodyTextIndent"/>
        <w:rPr>
          <w:kern w:val="16"/>
        </w:rPr>
      </w:pPr>
      <w:r>
        <w:rPr>
          <w:kern w:val="16"/>
        </w:rPr>
        <w:t xml:space="preserve">At the end of February the new optics was </w:t>
      </w:r>
      <w:r w:rsidR="005E2809">
        <w:rPr>
          <w:kern w:val="16"/>
        </w:rPr>
        <w:t>carefully</w:t>
      </w:r>
      <w:r>
        <w:rPr>
          <w:kern w:val="16"/>
        </w:rPr>
        <w:t xml:space="preserve"> corrected based on orbit response measurements with all correctors. </w:t>
      </w:r>
      <w:r w:rsidR="005E2809">
        <w:rPr>
          <w:kern w:val="16"/>
        </w:rPr>
        <w:t>This achievement was impaired by problems with the control software wh</w:t>
      </w:r>
      <w:r w:rsidR="003F0681">
        <w:rPr>
          <w:kern w:val="16"/>
        </w:rPr>
        <w:t>ich could finally be mitigated.</w:t>
      </w:r>
    </w:p>
    <w:p w:rsidR="00AE3239" w:rsidRDefault="00AE3239" w:rsidP="00AE3239">
      <w:pPr>
        <w:pStyle w:val="BodyTextIndent"/>
        <w:rPr>
          <w:kern w:val="16"/>
        </w:rPr>
      </w:pPr>
      <w:r>
        <w:rPr>
          <w:kern w:val="16"/>
        </w:rPr>
        <w:t xml:space="preserve">The emittance diagnostic </w:t>
      </w:r>
      <w:proofErr w:type="spellStart"/>
      <w:r>
        <w:rPr>
          <w:kern w:val="16"/>
        </w:rPr>
        <w:t>beamline</w:t>
      </w:r>
      <w:proofErr w:type="spellEnd"/>
      <w:r w:rsidR="004C248F">
        <w:rPr>
          <w:kern w:val="16"/>
        </w:rPr>
        <w:t xml:space="preserve"> [10]</w:t>
      </w:r>
      <w:r>
        <w:rPr>
          <w:kern w:val="16"/>
        </w:rPr>
        <w:t xml:space="preserve"> was quickly available and the measured horizontal emittance is </w:t>
      </w:r>
      <w:r w:rsidR="00E36695">
        <w:rPr>
          <w:kern w:val="16"/>
        </w:rPr>
        <w:t xml:space="preserve">in </w:t>
      </w:r>
      <w:r>
        <w:rPr>
          <w:kern w:val="16"/>
        </w:rPr>
        <w:t>very good agreement with the design value from Table 1.</w:t>
      </w:r>
    </w:p>
    <w:p w:rsidR="00AE3239" w:rsidRDefault="00E36695" w:rsidP="00AE3239">
      <w:pPr>
        <w:pStyle w:val="BodyTextIndent"/>
        <w:rPr>
          <w:kern w:val="16"/>
        </w:rPr>
      </w:pPr>
      <w:r w:rsidRPr="00E36695">
        <w:rPr>
          <w:kern w:val="16"/>
        </w:rPr>
        <w:t>The orbit feedback was extended to guarantee the required pointing stability of the particle beam</w:t>
      </w:r>
      <w:r w:rsidR="004C248F">
        <w:rPr>
          <w:kern w:val="16"/>
        </w:rPr>
        <w:t xml:space="preserve"> [11]</w:t>
      </w:r>
      <w:r w:rsidRPr="00E36695">
        <w:rPr>
          <w:kern w:val="16"/>
        </w:rPr>
        <w:t>.</w:t>
      </w:r>
      <w:r>
        <w:rPr>
          <w:kern w:val="16"/>
        </w:rPr>
        <w:t xml:space="preserve"> The commissioning of the modified system with a new central control unit could be finished just in time in mid-March.</w:t>
      </w:r>
      <w:r w:rsidR="0038358D">
        <w:rPr>
          <w:kern w:val="16"/>
        </w:rPr>
        <w:t xml:space="preserve"> The set-up of good conditions for the existing 14 beam lines started in parallel to the final commissioning steps.</w:t>
      </w:r>
    </w:p>
    <w:p w:rsidR="00A72CFB" w:rsidRDefault="00A72CFB" w:rsidP="0038358D">
      <w:pPr>
        <w:pStyle w:val="BodyTextIndent"/>
        <w:ind w:firstLine="0"/>
        <w:rPr>
          <w:kern w:val="16"/>
        </w:rPr>
      </w:pPr>
    </w:p>
    <w:p w:rsidR="003509A9" w:rsidRDefault="003509A9" w:rsidP="003509A9">
      <w:pPr>
        <w:pStyle w:val="SectionHeading"/>
      </w:pPr>
      <w:r>
        <w:t>User Runs</w:t>
      </w:r>
    </w:p>
    <w:p w:rsidR="00AE3239" w:rsidRDefault="00A72CFB" w:rsidP="0019178F">
      <w:pPr>
        <w:pStyle w:val="BodyTextIndent"/>
      </w:pPr>
      <w:r>
        <w:t>The user run with internal users st</w:t>
      </w:r>
      <w:r w:rsidR="00AE3239">
        <w:t xml:space="preserve">arted as scheduled on March 28 with 60 equally spaced bunches and total current of 80 mA. Since April 8 the total bunch current was 100 mA in 240 bunches and </w:t>
      </w:r>
      <w:r w:rsidR="0019178F">
        <w:t>since April 22</w:t>
      </w:r>
      <w:r w:rsidR="00704BBB">
        <w:t xml:space="preserve"> 100 mA</w:t>
      </w:r>
      <w:r w:rsidR="0019178F">
        <w:t xml:space="preserve"> in </w:t>
      </w:r>
      <w:r w:rsidR="00AE3239">
        <w:t xml:space="preserve">960 </w:t>
      </w:r>
      <w:r w:rsidR="0019178F">
        <w:t>bunches after improved vacuum conditions. Due to ion effects the vertical emittance is</w:t>
      </w:r>
      <w:r w:rsidR="00704BBB">
        <w:t xml:space="preserve"> slightly</w:t>
      </w:r>
      <w:r w:rsidR="0019178F">
        <w:t xml:space="preserve"> larger than the design value when PETRA III is operated wit</w:t>
      </w:r>
      <w:r w:rsidR="005C2F7D">
        <w:t>h 960 equally spaced bunches. But</w:t>
      </w:r>
      <w:r w:rsidR="00F07718">
        <w:t xml:space="preserve"> for</w:t>
      </w:r>
      <w:r w:rsidR="0019178F">
        <w:t xml:space="preserve"> the 60 and 240 bunch modes a vertical emittance </w:t>
      </w:r>
      <w:r w:rsidR="005C2F7D">
        <w:t>close the design values was measured.</w:t>
      </w:r>
    </w:p>
    <w:p w:rsidR="008430C8" w:rsidRDefault="008430C8" w:rsidP="0019178F">
      <w:pPr>
        <w:pStyle w:val="BodyTextIndent"/>
      </w:pPr>
      <w:r>
        <w:t xml:space="preserve">Starting on April 27 external users were scheduled to do experiments at the 14 existing </w:t>
      </w:r>
      <w:proofErr w:type="spellStart"/>
      <w:r>
        <w:t>beamlines</w:t>
      </w:r>
      <w:proofErr w:type="spellEnd"/>
      <w:r>
        <w:t xml:space="preserve">. Two of the new </w:t>
      </w:r>
      <w:proofErr w:type="spellStart"/>
      <w:r>
        <w:t>beamlines</w:t>
      </w:r>
      <w:proofErr w:type="spellEnd"/>
      <w:r>
        <w:t xml:space="preserve"> in the extension section North will be operational in </w:t>
      </w:r>
      <w:r w:rsidR="00561714">
        <w:t>autumn</w:t>
      </w:r>
      <w:r>
        <w:t xml:space="preserve"> 2015. </w:t>
      </w:r>
    </w:p>
    <w:p w:rsidR="003509A9" w:rsidRDefault="003509A9" w:rsidP="003509A9">
      <w:pPr>
        <w:pStyle w:val="SectionHeading"/>
      </w:pPr>
      <w:r>
        <w:t>CONCLUSION</w:t>
      </w:r>
    </w:p>
    <w:p w:rsidR="003509A9" w:rsidRPr="00166737" w:rsidRDefault="004417B9" w:rsidP="003509A9">
      <w:pPr>
        <w:pStyle w:val="BodyTextIndent"/>
      </w:pPr>
      <w:r w:rsidRPr="004417B9">
        <w:t xml:space="preserve">The </w:t>
      </w:r>
      <w:proofErr w:type="spellStart"/>
      <w:r w:rsidRPr="004417B9">
        <w:t>recommissioning</w:t>
      </w:r>
      <w:proofErr w:type="spellEnd"/>
      <w:r w:rsidRPr="004417B9">
        <w:t xml:space="preserve"> of PETRA III after the implementation of the extension project was successfully finished on sch</w:t>
      </w:r>
      <w:r w:rsidR="005E4397">
        <w:t>edule. User operation started on</w:t>
      </w:r>
      <w:r w:rsidR="00561714">
        <w:t xml:space="preserve"> </w:t>
      </w:r>
      <w:r w:rsidRPr="004417B9">
        <w:t xml:space="preserve">March 28 for internal users and on April 27, 2015 for external users. Since </w:t>
      </w:r>
      <w:r w:rsidR="00561714" w:rsidRPr="004417B9">
        <w:t>March PETRA</w:t>
      </w:r>
      <w:r w:rsidR="00561714">
        <w:t xml:space="preserve"> III is</w:t>
      </w:r>
      <w:r w:rsidRPr="004417B9">
        <w:t xml:space="preserve"> running with a total beam current of 100 mA</w:t>
      </w:r>
      <w:r w:rsidR="005E4397">
        <w:t>.</w:t>
      </w:r>
      <w:r w:rsidRPr="004417B9">
        <w:t xml:space="preserve"> </w:t>
      </w:r>
    </w:p>
    <w:p w:rsidR="00551A99" w:rsidRDefault="00551A99" w:rsidP="005E2809">
      <w:pPr>
        <w:pStyle w:val="BodyTextIndent"/>
        <w:rPr>
          <w:kern w:val="16"/>
        </w:rPr>
        <w:sectPr w:rsidR="00551A99" w:rsidSect="00D90022">
          <w:footnotePr>
            <w:pos w:val="beneathText"/>
            <w:numFmt w:val="chicago"/>
          </w:footnotePr>
          <w:endnotePr>
            <w:numFmt w:val="decimal"/>
          </w:endnotePr>
          <w:type w:val="continuous"/>
          <w:pgSz w:w="11907" w:h="16840" w:code="9"/>
          <w:pgMar w:top="2098" w:right="1134" w:bottom="1077" w:left="1134" w:header="2102" w:footer="1080" w:gutter="0"/>
          <w:cols w:num="2" w:space="288"/>
          <w:docGrid w:linePitch="360"/>
        </w:sectPr>
      </w:pPr>
    </w:p>
    <w:tbl>
      <w:tblPr>
        <w:tblW w:w="0" w:type="auto"/>
        <w:jc w:val="center"/>
        <w:tblLook w:val="04A0" w:firstRow="1" w:lastRow="0" w:firstColumn="1" w:lastColumn="0" w:noHBand="0" w:noVBand="1"/>
      </w:tblPr>
      <w:tblGrid>
        <w:gridCol w:w="9855"/>
      </w:tblGrid>
      <w:tr w:rsidR="006839C6" w:rsidRPr="00E56880" w:rsidTr="00D14097">
        <w:trPr>
          <w:jc w:val="center"/>
        </w:trPr>
        <w:tc>
          <w:tcPr>
            <w:tcW w:w="9855" w:type="dxa"/>
          </w:tcPr>
          <w:p w:rsidR="006839C6" w:rsidRPr="002207D3" w:rsidRDefault="006839C6" w:rsidP="00D14097">
            <w:pPr>
              <w:pStyle w:val="BodyTextIndent"/>
              <w:ind w:firstLine="0"/>
              <w:jc w:val="center"/>
              <w:rPr>
                <w:kern w:val="16"/>
              </w:rPr>
            </w:pPr>
            <w:r w:rsidRPr="00AA3EDF">
              <w:rPr>
                <w:noProof/>
                <w:kern w:val="16"/>
                <w:lang w:val="en-US"/>
              </w:rPr>
              <w:lastRenderedPageBreak/>
              <w:drawing>
                <wp:inline distT="0" distB="0" distL="0" distR="0" wp14:anchorId="6B3BC06F" wp14:editId="6E525509">
                  <wp:extent cx="5935133" cy="4451352"/>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pic3v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5648" cy="4459238"/>
                          </a:xfrm>
                          <a:prstGeom prst="rect">
                            <a:avLst/>
                          </a:prstGeom>
                        </pic:spPr>
                      </pic:pic>
                    </a:graphicData>
                  </a:graphic>
                </wp:inline>
              </w:drawing>
            </w:r>
          </w:p>
        </w:tc>
      </w:tr>
      <w:tr w:rsidR="006839C6" w:rsidRPr="00E56880" w:rsidTr="00D14097">
        <w:trPr>
          <w:jc w:val="center"/>
        </w:trPr>
        <w:tc>
          <w:tcPr>
            <w:tcW w:w="9855" w:type="dxa"/>
          </w:tcPr>
          <w:p w:rsidR="006839C6" w:rsidRPr="002207D3" w:rsidRDefault="00685F51" w:rsidP="00887F99">
            <w:pPr>
              <w:pStyle w:val="FigureCaptionMultiLine"/>
              <w:rPr>
                <w:kern w:val="16"/>
              </w:rPr>
            </w:pPr>
            <w:r>
              <w:rPr>
                <w:kern w:val="16"/>
              </w:rPr>
              <w:t>Figure 4</w:t>
            </w:r>
            <w:r w:rsidR="006839C6" w:rsidRPr="002207D3">
              <w:rPr>
                <w:kern w:val="16"/>
              </w:rPr>
              <w:t xml:space="preserve">: </w:t>
            </w:r>
            <w:r w:rsidR="00887F99">
              <w:rPr>
                <w:kern w:val="16"/>
              </w:rPr>
              <w:t>PETRA III extension North. The new DBA</w:t>
            </w:r>
            <w:r w:rsidR="007C277B">
              <w:rPr>
                <w:kern w:val="16"/>
              </w:rPr>
              <w:t xml:space="preserve"> </w:t>
            </w:r>
            <w:r w:rsidR="00EE4E9C">
              <w:rPr>
                <w:kern w:val="16"/>
              </w:rPr>
              <w:t>like lattice</w:t>
            </w:r>
            <w:r w:rsidR="00887F99">
              <w:rPr>
                <w:kern w:val="16"/>
              </w:rPr>
              <w:t xml:space="preserve"> of the extension section North is shown in the photo from April 2015.</w:t>
            </w:r>
          </w:p>
        </w:tc>
      </w:tr>
    </w:tbl>
    <w:p w:rsidR="006839C6" w:rsidRDefault="006839C6" w:rsidP="006839C6">
      <w:pPr>
        <w:pStyle w:val="BodyTextIndent"/>
        <w:rPr>
          <w:kern w:val="16"/>
        </w:rPr>
      </w:pPr>
    </w:p>
    <w:p w:rsidR="006839C6" w:rsidRDefault="006839C6" w:rsidP="006839C6">
      <w:pPr>
        <w:pStyle w:val="BodyTextIndent"/>
        <w:rPr>
          <w:kern w:val="16"/>
        </w:rPr>
        <w:sectPr w:rsidR="006839C6" w:rsidSect="00D90022">
          <w:footnotePr>
            <w:pos w:val="beneathText"/>
            <w:numFmt w:val="chicago"/>
          </w:footnotePr>
          <w:endnotePr>
            <w:numFmt w:val="decimal"/>
          </w:endnotePr>
          <w:type w:val="continuous"/>
          <w:pgSz w:w="11907" w:h="16840" w:code="9"/>
          <w:pgMar w:top="2098" w:right="1134" w:bottom="1077" w:left="1134" w:header="2102" w:footer="1080" w:gutter="0"/>
          <w:cols w:space="288"/>
          <w:docGrid w:linePitch="360"/>
        </w:sectPr>
      </w:pPr>
    </w:p>
    <w:p w:rsidR="006839C6" w:rsidRPr="00166737" w:rsidRDefault="003707A2" w:rsidP="006839C6">
      <w:pPr>
        <w:pStyle w:val="BodyTextIndent"/>
      </w:pPr>
      <w:r>
        <w:lastRenderedPageBreak/>
        <w:t xml:space="preserve">The beam quality in the 960 bunch mode has not yet achieved the design values due </w:t>
      </w:r>
      <w:r w:rsidR="007022F6">
        <w:t>to io</w:t>
      </w:r>
      <w:r w:rsidR="00784943">
        <w:t>n effects which are degrading</w:t>
      </w:r>
      <w:r>
        <w:t xml:space="preserve"> the vertical emittance.</w:t>
      </w:r>
    </w:p>
    <w:p w:rsidR="00BC6316" w:rsidRDefault="00BC6316" w:rsidP="007A3099">
      <w:pPr>
        <w:pStyle w:val="SectionHeading"/>
      </w:pPr>
      <w:r>
        <w:t>acknowledgment</w:t>
      </w:r>
    </w:p>
    <w:p w:rsidR="00BC6316" w:rsidRDefault="001E0943" w:rsidP="00D800B1">
      <w:pPr>
        <w:pStyle w:val="BodyTextIndent"/>
      </w:pPr>
      <w:r>
        <w:t>The authors would like to thank</w:t>
      </w:r>
      <w:r w:rsidR="001059C4">
        <w:t xml:space="preserve"> our </w:t>
      </w:r>
      <w:proofErr w:type="spellStart"/>
      <w:r w:rsidR="001059C4">
        <w:t>collegue</w:t>
      </w:r>
      <w:proofErr w:type="spellEnd"/>
      <w:r>
        <w:t xml:space="preserve"> J.-L. </w:t>
      </w:r>
      <w:proofErr w:type="spellStart"/>
      <w:r>
        <w:t>Revol</w:t>
      </w:r>
      <w:proofErr w:type="spellEnd"/>
      <w:r>
        <w:t xml:space="preserve"> from the ESRF</w:t>
      </w:r>
      <w:r w:rsidR="001059C4">
        <w:t xml:space="preserve"> and our colleagues B. </w:t>
      </w:r>
      <w:proofErr w:type="spellStart"/>
      <w:r w:rsidR="001059C4">
        <w:t>Beutner</w:t>
      </w:r>
      <w:proofErr w:type="spellEnd"/>
      <w:r w:rsidR="00D3613B">
        <w:t xml:space="preserve">, </w:t>
      </w:r>
      <w:r w:rsidR="001059C4">
        <w:t xml:space="preserve"> </w:t>
      </w:r>
      <w:r w:rsidR="00D3613B" w:rsidRPr="00D3613B">
        <w:t>P. Castro-Garcia</w:t>
      </w:r>
      <w:r w:rsidR="00444FC5">
        <w:t xml:space="preserve">, </w:t>
      </w:r>
      <w:r w:rsidR="00444FC5" w:rsidRPr="00444FC5">
        <w:t>H. Ehrlichmann</w:t>
      </w:r>
      <w:r w:rsidR="00D3613B" w:rsidRPr="00D3613B">
        <w:t xml:space="preserve"> </w:t>
      </w:r>
      <w:r w:rsidR="001059C4">
        <w:t>and M. Vogt from DESY for their</w:t>
      </w:r>
      <w:r>
        <w:t xml:space="preserve"> help</w:t>
      </w:r>
      <w:r w:rsidR="00840E48">
        <w:t xml:space="preserve"> </w:t>
      </w:r>
      <w:r>
        <w:t>during the commissioning of PETRA III.</w:t>
      </w:r>
      <w:r w:rsidR="001059C4">
        <w:t xml:space="preserve"> Thanks goes </w:t>
      </w:r>
      <w:r>
        <w:t>to our colleagues</w:t>
      </w:r>
      <w:r w:rsidR="00AA30F5">
        <w:t xml:space="preserve"> from the DESY groups </w:t>
      </w:r>
      <w:r w:rsidR="00210D48">
        <w:t xml:space="preserve">MCS, MDI, MEA, MHF-e, MIN, MKK, </w:t>
      </w:r>
      <w:r w:rsidR="00AA30F5">
        <w:t>MSK</w:t>
      </w:r>
      <w:r w:rsidR="00210D48">
        <w:t>, MVS</w:t>
      </w:r>
      <w:r w:rsidR="00AA30F5">
        <w:t xml:space="preserve"> which are responsible for the successful installation and commissioning of the </w:t>
      </w:r>
      <w:r w:rsidR="003C73FC">
        <w:t xml:space="preserve">essential </w:t>
      </w:r>
      <w:r w:rsidR="00AA30F5">
        <w:t>technical subsystem</w:t>
      </w:r>
      <w:r w:rsidR="003C73FC">
        <w:t>s of</w:t>
      </w:r>
      <w:r w:rsidR="00AA30F5">
        <w:t xml:space="preserve"> PETRA III</w:t>
      </w:r>
      <w:r w:rsidR="0024552B">
        <w:t>.</w:t>
      </w:r>
      <w:r w:rsidR="00BD1DC1">
        <w:t xml:space="preserve"> We thank also the project leader W. </w:t>
      </w:r>
      <w:proofErr w:type="spellStart"/>
      <w:r w:rsidR="00BD1DC1">
        <w:t>Drube</w:t>
      </w:r>
      <w:proofErr w:type="spellEnd"/>
      <w:r w:rsidR="00BD1DC1">
        <w:t xml:space="preserve"> for the good and constructive co-operation.</w:t>
      </w:r>
      <w:r w:rsidR="009231CF">
        <w:t xml:space="preserve"> Last but not least we thank A. Klin</w:t>
      </w:r>
      <w:r w:rsidR="001B3FC6">
        <w:t>g for his enthusiasm and effort</w:t>
      </w:r>
      <w:r w:rsidR="003C73FC">
        <w:t xml:space="preserve">s in </w:t>
      </w:r>
      <w:r w:rsidR="009231CF">
        <w:t>develop</w:t>
      </w:r>
      <w:r w:rsidR="003C73FC">
        <w:t>ing</w:t>
      </w:r>
      <w:r w:rsidR="009231CF">
        <w:t xml:space="preserve"> the DBA like lattice for the new extension sections.</w:t>
      </w:r>
    </w:p>
    <w:p w:rsidR="00165665" w:rsidRDefault="00165665" w:rsidP="007A3099">
      <w:pPr>
        <w:pStyle w:val="SectionHeading"/>
      </w:pPr>
      <w:r>
        <w:t>References</w:t>
      </w:r>
    </w:p>
    <w:p w:rsidR="00843231" w:rsidRPr="009F751A" w:rsidRDefault="00165665" w:rsidP="009F751A">
      <w:pPr>
        <w:pStyle w:val="Reference"/>
      </w:pPr>
      <w:r w:rsidRPr="00843231">
        <w:rPr>
          <w:lang w:val="en-US"/>
        </w:rPr>
        <w:t>[1]</w:t>
      </w:r>
      <w:r w:rsidRPr="00843231">
        <w:rPr>
          <w:lang w:val="en-US"/>
        </w:rPr>
        <w:tab/>
      </w:r>
      <w:r w:rsidR="00843231" w:rsidRPr="00843231">
        <w:rPr>
          <w:lang w:val="en-US"/>
        </w:rPr>
        <w:t xml:space="preserve">Editors: K. Balewski, W. </w:t>
      </w:r>
      <w:proofErr w:type="spellStart"/>
      <w:r w:rsidR="00843231" w:rsidRPr="00843231">
        <w:rPr>
          <w:lang w:val="en-US"/>
        </w:rPr>
        <w:t>Brefeld</w:t>
      </w:r>
      <w:proofErr w:type="spellEnd"/>
      <w:r w:rsidR="00843231" w:rsidRPr="00843231">
        <w:rPr>
          <w:lang w:val="en-US"/>
        </w:rPr>
        <w:t xml:space="preserve">, W. Decking, H. Franz, </w:t>
      </w:r>
      <w:r w:rsidR="001D4A66">
        <w:rPr>
          <w:lang w:val="en-US"/>
        </w:rPr>
        <w:t xml:space="preserve">R. </w:t>
      </w:r>
      <w:proofErr w:type="spellStart"/>
      <w:r w:rsidR="001D4A66">
        <w:rPr>
          <w:lang w:val="en-US"/>
        </w:rPr>
        <w:t>Röhlsberger</w:t>
      </w:r>
      <w:proofErr w:type="spellEnd"/>
      <w:r w:rsidR="001D4A66">
        <w:rPr>
          <w:lang w:val="en-US"/>
        </w:rPr>
        <w:t xml:space="preserve">, E. </w:t>
      </w:r>
      <w:proofErr w:type="spellStart"/>
      <w:r w:rsidR="00843231" w:rsidRPr="00843231">
        <w:rPr>
          <w:lang w:val="en-US"/>
        </w:rPr>
        <w:t>Weckert</w:t>
      </w:r>
      <w:proofErr w:type="spellEnd"/>
      <w:r w:rsidR="00843231" w:rsidRPr="00843231">
        <w:rPr>
          <w:lang w:val="en-US"/>
        </w:rPr>
        <w:t xml:space="preserve">, </w:t>
      </w:r>
      <w:r w:rsidR="00843231">
        <w:t>“</w:t>
      </w:r>
      <w:r w:rsidR="00843231" w:rsidRPr="00843231">
        <w:t xml:space="preserve">PETRA III: A </w:t>
      </w:r>
      <w:r w:rsidR="00843231" w:rsidRPr="00843231">
        <w:lastRenderedPageBreak/>
        <w:t>low Emittanc</w:t>
      </w:r>
      <w:r w:rsidR="00843231">
        <w:t>e Synchrotron Radiation Source”,</w:t>
      </w:r>
      <w:r w:rsidR="00843231" w:rsidRPr="00843231">
        <w:t xml:space="preserve"> DESY 2004-035, February 2004.</w:t>
      </w:r>
      <w:r w:rsidR="00843231">
        <w:t xml:space="preserve"> </w:t>
      </w:r>
    </w:p>
    <w:p w:rsidR="00404AD2" w:rsidRDefault="00404AD2">
      <w:pPr>
        <w:pStyle w:val="Reference"/>
      </w:pPr>
      <w:proofErr w:type="gramStart"/>
      <w:r>
        <w:t>[</w:t>
      </w:r>
      <w:r w:rsidR="00A72BC9">
        <w:t>2</w:t>
      </w:r>
      <w:r>
        <w:t>]</w:t>
      </w:r>
      <w:r>
        <w:tab/>
      </w:r>
      <w:r w:rsidR="00A72BC9" w:rsidRPr="00A72BC9">
        <w:t>K. Balewski,</w:t>
      </w:r>
      <w:r w:rsidR="00561714">
        <w:t xml:space="preserve"> </w:t>
      </w:r>
      <w:r w:rsidR="00A72BC9">
        <w:t>“C</w:t>
      </w:r>
      <w:r w:rsidR="00A72BC9" w:rsidRPr="00A72BC9">
        <w:t>ommissioning</w:t>
      </w:r>
      <w:r w:rsidR="00A72BC9">
        <w:t xml:space="preserve"> of </w:t>
      </w:r>
      <w:r w:rsidR="00A72BC9" w:rsidRPr="00843231">
        <w:t>PETRA III</w:t>
      </w:r>
      <w:r w:rsidR="00A72BC9">
        <w:t>”,</w:t>
      </w:r>
      <w:r w:rsidR="00A72BC9" w:rsidRPr="00843231">
        <w:t xml:space="preserve"> </w:t>
      </w:r>
      <w:r w:rsidR="00A72BC9">
        <w:t>IPAC’10,</w:t>
      </w:r>
      <w:r w:rsidR="00A72BC9" w:rsidRPr="00A72BC9">
        <w:t xml:space="preserve"> </w:t>
      </w:r>
      <w:r w:rsidR="00A72BC9">
        <w:t>Kyoto, Japan (2010)</w:t>
      </w:r>
      <w:r w:rsidR="00A72BC9">
        <w:rPr>
          <w:i/>
        </w:rPr>
        <w:t>.</w:t>
      </w:r>
      <w:proofErr w:type="gramEnd"/>
    </w:p>
    <w:p w:rsidR="00843231" w:rsidRDefault="00843231" w:rsidP="00843231">
      <w:pPr>
        <w:pStyle w:val="Reference"/>
      </w:pPr>
      <w:r>
        <w:t>[3]</w:t>
      </w:r>
      <w:r>
        <w:tab/>
      </w:r>
      <w:r w:rsidR="00A72BC9" w:rsidRPr="00A72BC9">
        <w:t>K. Balewski</w:t>
      </w:r>
      <w:r w:rsidR="001D4A66">
        <w:t xml:space="preserve"> et al</w:t>
      </w:r>
      <w:r w:rsidR="005614B1">
        <w:t>.,</w:t>
      </w:r>
      <w:r w:rsidR="00A72BC9">
        <w:t xml:space="preserve"> “PETRA III Upgrade”, IPAC</w:t>
      </w:r>
      <w:r w:rsidR="00281A77">
        <w:t>’11</w:t>
      </w:r>
      <w:r w:rsidR="00A72BC9">
        <w:t>, San Sebastian, Spain (2011)</w:t>
      </w:r>
      <w:r w:rsidRPr="00D02203">
        <w:t>.</w:t>
      </w:r>
    </w:p>
    <w:p w:rsidR="00843231" w:rsidRDefault="00843231" w:rsidP="00843231">
      <w:pPr>
        <w:pStyle w:val="Reference"/>
      </w:pPr>
      <w:r>
        <w:t>[</w:t>
      </w:r>
      <w:r w:rsidR="00A72BC9">
        <w:t>4</w:t>
      </w:r>
      <w:r>
        <w:t>]</w:t>
      </w:r>
      <w:r>
        <w:tab/>
      </w:r>
      <w:r w:rsidR="001D4A66">
        <w:t xml:space="preserve">M. </w:t>
      </w:r>
      <w:proofErr w:type="spellStart"/>
      <w:r w:rsidR="001D4A66">
        <w:t>Bieler</w:t>
      </w:r>
      <w:proofErr w:type="spellEnd"/>
      <w:r w:rsidR="001D4A66">
        <w:t xml:space="preserve"> et</w:t>
      </w:r>
      <w:r w:rsidR="005614B1">
        <w:t xml:space="preserve"> al.</w:t>
      </w:r>
      <w:r w:rsidR="00281A77">
        <w:t>, “Status of the PETRA III Upgrade”, IPAC’12, New Orleans, Louisiana</w:t>
      </w:r>
      <w:r w:rsidR="00281A77" w:rsidRPr="00281A77">
        <w:t>,</w:t>
      </w:r>
      <w:r w:rsidR="00281A77">
        <w:t xml:space="preserve"> USA (2012</w:t>
      </w:r>
      <w:r w:rsidR="00281A77" w:rsidRPr="00281A77">
        <w:t>).</w:t>
      </w:r>
      <w:r w:rsidR="00281A77">
        <w:t xml:space="preserve"> </w:t>
      </w:r>
    </w:p>
    <w:p w:rsidR="00843231" w:rsidRDefault="00843231" w:rsidP="001107D4">
      <w:pPr>
        <w:pStyle w:val="Reference"/>
      </w:pPr>
      <w:r>
        <w:t>[</w:t>
      </w:r>
      <w:r w:rsidR="00281A77">
        <w:t>5</w:t>
      </w:r>
      <w:r>
        <w:t>]</w:t>
      </w:r>
      <w:r>
        <w:tab/>
      </w:r>
      <w:r w:rsidR="007022F6">
        <w:t>Extension project</w:t>
      </w:r>
      <w:r w:rsidR="001D4A66">
        <w:t xml:space="preserve">: </w:t>
      </w:r>
      <w:r w:rsidR="005614B1" w:rsidRPr="00EE4E9C">
        <w:t>http://petra3-extension.desy.de</w:t>
      </w:r>
      <w:r w:rsidR="005614B1" w:rsidRPr="005614B1">
        <w:t xml:space="preserve"> </w:t>
      </w:r>
    </w:p>
    <w:p w:rsidR="001107D4" w:rsidRDefault="001107D4" w:rsidP="001107D4">
      <w:pPr>
        <w:pStyle w:val="Reference"/>
      </w:pPr>
      <w:r>
        <w:t>[</w:t>
      </w:r>
      <w:r w:rsidR="00840E48">
        <w:t>6</w:t>
      </w:r>
      <w:r>
        <w:t>]</w:t>
      </w:r>
      <w:r>
        <w:tab/>
      </w:r>
      <w:r w:rsidR="00884551">
        <w:t>A. Kling, design of the PETRA III extension lattice</w:t>
      </w:r>
      <w:r w:rsidR="00840E48">
        <w:t>, private communication.</w:t>
      </w:r>
    </w:p>
    <w:p w:rsidR="00972BAB" w:rsidRDefault="001107D4" w:rsidP="001107D4">
      <w:pPr>
        <w:pStyle w:val="Reference"/>
      </w:pPr>
      <w:r>
        <w:t>[</w:t>
      </w:r>
      <w:r w:rsidR="00840E48">
        <w:t>7</w:t>
      </w:r>
      <w:r>
        <w:t>]</w:t>
      </w:r>
      <w:r>
        <w:tab/>
      </w:r>
      <w:r w:rsidR="00840E48" w:rsidRPr="00840E48">
        <w:t xml:space="preserve">E. </w:t>
      </w:r>
      <w:proofErr w:type="spellStart"/>
      <w:r w:rsidR="00840E48" w:rsidRPr="00840E48">
        <w:t>Bondarchuk</w:t>
      </w:r>
      <w:proofErr w:type="spellEnd"/>
      <w:r w:rsidR="00840E48" w:rsidRPr="00840E48">
        <w:t xml:space="preserve"> et al., “Magnets for the PETRA III Project”, IEEE Transaction on Applied Superconductivity Vol. 16, no.2, p. 220-223, 2006</w:t>
      </w:r>
      <w:r w:rsidR="00840E48">
        <w:t>.</w:t>
      </w:r>
    </w:p>
    <w:p w:rsidR="00972BAB" w:rsidRDefault="00972BAB" w:rsidP="00972BAB">
      <w:pPr>
        <w:pStyle w:val="Reference"/>
      </w:pPr>
      <w:proofErr w:type="gramStart"/>
      <w:r>
        <w:t>[8]</w:t>
      </w:r>
      <w:r>
        <w:tab/>
      </w:r>
      <w:r w:rsidRPr="00972BAB">
        <w:t>M. Seidel et al., “The Vacuum System for PETRA III”, PAC ‘05, Knoxville, USA (2005).</w:t>
      </w:r>
      <w:proofErr w:type="gramEnd"/>
    </w:p>
    <w:p w:rsidR="001107D4" w:rsidRDefault="00972BAB" w:rsidP="00972BAB">
      <w:pPr>
        <w:pStyle w:val="Reference"/>
      </w:pPr>
      <w:r>
        <w:t>[9]</w:t>
      </w:r>
      <w:r>
        <w:tab/>
      </w:r>
      <w:r w:rsidRPr="00972BAB">
        <w:t xml:space="preserve">R. </w:t>
      </w:r>
      <w:proofErr w:type="spellStart"/>
      <w:r w:rsidRPr="00972BAB">
        <w:t>Böspflug</w:t>
      </w:r>
      <w:proofErr w:type="spellEnd"/>
      <w:r w:rsidRPr="00972BAB">
        <w:t xml:space="preserve"> et al., “Vacuum system design of the third generation synchrotron radiation source PETRA III”,  J. Phys. Conf. Ser. 100, 092012 (2008).</w:t>
      </w:r>
      <w:r w:rsidR="00840E48">
        <w:t xml:space="preserve"> </w:t>
      </w:r>
    </w:p>
    <w:p w:rsidR="00840E48" w:rsidRDefault="00840E48" w:rsidP="00840E48">
      <w:pPr>
        <w:pStyle w:val="Reference"/>
      </w:pPr>
      <w:proofErr w:type="gramStart"/>
      <w:r>
        <w:t>[</w:t>
      </w:r>
      <w:r w:rsidR="00972BAB">
        <w:t>10</w:t>
      </w:r>
      <w:r>
        <w:t>]</w:t>
      </w:r>
      <w:r>
        <w:tab/>
      </w:r>
      <w:r w:rsidR="00347B2B">
        <w:t xml:space="preserve">G. </w:t>
      </w:r>
      <w:proofErr w:type="spellStart"/>
      <w:r w:rsidR="00347B2B">
        <w:t>Kube</w:t>
      </w:r>
      <w:proofErr w:type="spellEnd"/>
      <w:r w:rsidR="00347B2B">
        <w:t xml:space="preserve"> et al., “</w:t>
      </w:r>
      <w:r w:rsidR="00972BAB" w:rsidRPr="00972BAB">
        <w:t>PETRA III</w:t>
      </w:r>
      <w:r w:rsidR="00347B2B">
        <w:t xml:space="preserve"> Diagnostics </w:t>
      </w:r>
      <w:proofErr w:type="spellStart"/>
      <w:r w:rsidR="00347B2B">
        <w:t>Beamline</w:t>
      </w:r>
      <w:proofErr w:type="spellEnd"/>
      <w:r w:rsidR="00347B2B">
        <w:t xml:space="preserve"> for Emittance Measurements”, IPAC ‘10, Kyoto, Japan (2010</w:t>
      </w:r>
      <w:r w:rsidR="00972BAB" w:rsidRPr="00972BAB">
        <w:t>).</w:t>
      </w:r>
      <w:proofErr w:type="gramEnd"/>
    </w:p>
    <w:p w:rsidR="00684271" w:rsidRDefault="00840E48" w:rsidP="004A2265">
      <w:pPr>
        <w:pStyle w:val="Reference"/>
        <w:sectPr w:rsidR="00684271" w:rsidSect="00D90022">
          <w:footnotePr>
            <w:pos w:val="beneathText"/>
            <w:numFmt w:val="chicago"/>
          </w:footnotePr>
          <w:endnotePr>
            <w:numFmt w:val="decimal"/>
          </w:endnotePr>
          <w:type w:val="continuous"/>
          <w:pgSz w:w="11907" w:h="16840" w:code="9"/>
          <w:pgMar w:top="2102" w:right="1138" w:bottom="1080" w:left="1138" w:header="720" w:footer="720" w:gutter="0"/>
          <w:cols w:num="2" w:space="288"/>
          <w:docGrid w:linePitch="360"/>
        </w:sectPr>
      </w:pPr>
      <w:r>
        <w:t>[</w:t>
      </w:r>
      <w:r w:rsidR="00972BAB">
        <w:t>11</w:t>
      </w:r>
      <w:r>
        <w:t>]</w:t>
      </w:r>
      <w:r>
        <w:tab/>
      </w:r>
      <w:r w:rsidR="00972BAB" w:rsidRPr="00972BAB">
        <w:t xml:space="preserve">J. </w:t>
      </w:r>
      <w:proofErr w:type="spellStart"/>
      <w:r w:rsidR="00972BAB" w:rsidRPr="00972BAB">
        <w:t>Klute</w:t>
      </w:r>
      <w:proofErr w:type="spellEnd"/>
      <w:r w:rsidR="00972BAB" w:rsidRPr="00972BAB">
        <w:t xml:space="preserve"> et al., “The PETRA III Fast Orbit Feedback System”, DIP</w:t>
      </w:r>
      <w:r w:rsidR="009231CF">
        <w:t>AC ‘11, Hamburg, Germany (2011)</w:t>
      </w:r>
      <w:r w:rsidR="00EE4E9C">
        <w:t>.</w:t>
      </w:r>
    </w:p>
    <w:p w:rsidR="00BF6981" w:rsidRPr="00165665" w:rsidRDefault="00BF6981" w:rsidP="009809EF">
      <w:pPr>
        <w:pStyle w:val="Reference"/>
        <w:ind w:left="0" w:firstLine="0"/>
      </w:pPr>
    </w:p>
    <w:sectPr w:rsidR="00BF6981" w:rsidRPr="00165665" w:rsidSect="00D90022">
      <w:footnotePr>
        <w:pos w:val="beneathText"/>
        <w:numFmt w:val="chicago"/>
      </w:footnotePr>
      <w:endnotePr>
        <w:numFmt w:val="decimal"/>
      </w:endnotePr>
      <w:type w:val="continuous"/>
      <w:pgSz w:w="11907" w:h="16840" w:code="9"/>
      <w:pgMar w:top="2098" w:right="1134" w:bottom="1077" w:left="1134"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D2" w:rsidRDefault="002805D2"/>
  </w:endnote>
  <w:endnote w:type="continuationSeparator" w:id="0">
    <w:p w:rsidR="002805D2" w:rsidRDefault="0028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D2" w:rsidRDefault="002805D2">
      <w:r>
        <w:separator/>
      </w:r>
    </w:p>
  </w:footnote>
  <w:footnote w:type="continuationSeparator" w:id="0">
    <w:p w:rsidR="002805D2" w:rsidRDefault="00280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4">
    <w:nsid w:val="5EFC4232"/>
    <w:multiLevelType w:val="hybridMultilevel"/>
    <w:tmpl w:val="72B044C4"/>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0A"/>
    <w:rsid w:val="0000337F"/>
    <w:rsid w:val="00007743"/>
    <w:rsid w:val="00007CCD"/>
    <w:rsid w:val="00013ABB"/>
    <w:rsid w:val="00017D0C"/>
    <w:rsid w:val="00020432"/>
    <w:rsid w:val="000334F9"/>
    <w:rsid w:val="00050A71"/>
    <w:rsid w:val="00052CB4"/>
    <w:rsid w:val="00056950"/>
    <w:rsid w:val="0006118B"/>
    <w:rsid w:val="0007331E"/>
    <w:rsid w:val="00074A20"/>
    <w:rsid w:val="000A2A9A"/>
    <w:rsid w:val="000C1815"/>
    <w:rsid w:val="000D0EE2"/>
    <w:rsid w:val="000D4C6C"/>
    <w:rsid w:val="000E1BEA"/>
    <w:rsid w:val="000E28FD"/>
    <w:rsid w:val="000E57D6"/>
    <w:rsid w:val="000F3F19"/>
    <w:rsid w:val="001059C4"/>
    <w:rsid w:val="001107D4"/>
    <w:rsid w:val="001112A5"/>
    <w:rsid w:val="00113EB7"/>
    <w:rsid w:val="0014145F"/>
    <w:rsid w:val="00141F95"/>
    <w:rsid w:val="0015344C"/>
    <w:rsid w:val="00165665"/>
    <w:rsid w:val="00166737"/>
    <w:rsid w:val="0019178F"/>
    <w:rsid w:val="00197F96"/>
    <w:rsid w:val="001B3FC6"/>
    <w:rsid w:val="001D4A66"/>
    <w:rsid w:val="001D6284"/>
    <w:rsid w:val="001E0943"/>
    <w:rsid w:val="001E78D7"/>
    <w:rsid w:val="001F5C87"/>
    <w:rsid w:val="00210D48"/>
    <w:rsid w:val="00227D13"/>
    <w:rsid w:val="00243C3F"/>
    <w:rsid w:val="0024552B"/>
    <w:rsid w:val="00256197"/>
    <w:rsid w:val="00263536"/>
    <w:rsid w:val="002805D2"/>
    <w:rsid w:val="00281A77"/>
    <w:rsid w:val="00286A34"/>
    <w:rsid w:val="002B3C84"/>
    <w:rsid w:val="002C6318"/>
    <w:rsid w:val="002D2A47"/>
    <w:rsid w:val="002F551B"/>
    <w:rsid w:val="003003BA"/>
    <w:rsid w:val="00323071"/>
    <w:rsid w:val="003412C6"/>
    <w:rsid w:val="00347B2B"/>
    <w:rsid w:val="003509A9"/>
    <w:rsid w:val="00353CAC"/>
    <w:rsid w:val="00364CA4"/>
    <w:rsid w:val="00370789"/>
    <w:rsid w:val="003707A2"/>
    <w:rsid w:val="0037743E"/>
    <w:rsid w:val="0038358D"/>
    <w:rsid w:val="00394F4B"/>
    <w:rsid w:val="003A007C"/>
    <w:rsid w:val="003A2652"/>
    <w:rsid w:val="003A575A"/>
    <w:rsid w:val="003A5D64"/>
    <w:rsid w:val="003C2B35"/>
    <w:rsid w:val="003C52DD"/>
    <w:rsid w:val="003C73FC"/>
    <w:rsid w:val="003E4017"/>
    <w:rsid w:val="003F0681"/>
    <w:rsid w:val="00404AD2"/>
    <w:rsid w:val="00416DEA"/>
    <w:rsid w:val="004417B9"/>
    <w:rsid w:val="0044185D"/>
    <w:rsid w:val="00444FC5"/>
    <w:rsid w:val="0044648E"/>
    <w:rsid w:val="00456391"/>
    <w:rsid w:val="004704AC"/>
    <w:rsid w:val="00473A14"/>
    <w:rsid w:val="0049346D"/>
    <w:rsid w:val="004960F1"/>
    <w:rsid w:val="004A1546"/>
    <w:rsid w:val="004A2265"/>
    <w:rsid w:val="004C248F"/>
    <w:rsid w:val="004C4E52"/>
    <w:rsid w:val="004C6BED"/>
    <w:rsid w:val="004D5B62"/>
    <w:rsid w:val="004D7A0A"/>
    <w:rsid w:val="004F2A1D"/>
    <w:rsid w:val="00500A60"/>
    <w:rsid w:val="00506C77"/>
    <w:rsid w:val="00541B68"/>
    <w:rsid w:val="00551A99"/>
    <w:rsid w:val="00552435"/>
    <w:rsid w:val="00553403"/>
    <w:rsid w:val="005614B1"/>
    <w:rsid w:val="00561714"/>
    <w:rsid w:val="005659FD"/>
    <w:rsid w:val="005779BE"/>
    <w:rsid w:val="00584823"/>
    <w:rsid w:val="005909C8"/>
    <w:rsid w:val="005A51F5"/>
    <w:rsid w:val="005C117A"/>
    <w:rsid w:val="005C2F7D"/>
    <w:rsid w:val="005C76FE"/>
    <w:rsid w:val="005D7294"/>
    <w:rsid w:val="005E15E8"/>
    <w:rsid w:val="005E24F7"/>
    <w:rsid w:val="005E2809"/>
    <w:rsid w:val="005E4397"/>
    <w:rsid w:val="005F6709"/>
    <w:rsid w:val="00610E67"/>
    <w:rsid w:val="006227CD"/>
    <w:rsid w:val="0064089E"/>
    <w:rsid w:val="00647A8D"/>
    <w:rsid w:val="006560C3"/>
    <w:rsid w:val="00662C6C"/>
    <w:rsid w:val="006773E4"/>
    <w:rsid w:val="006811B5"/>
    <w:rsid w:val="006839C6"/>
    <w:rsid w:val="00684271"/>
    <w:rsid w:val="006845B5"/>
    <w:rsid w:val="00685F51"/>
    <w:rsid w:val="006907B3"/>
    <w:rsid w:val="006A11F7"/>
    <w:rsid w:val="006C24A7"/>
    <w:rsid w:val="006C4610"/>
    <w:rsid w:val="006C58CD"/>
    <w:rsid w:val="006D4221"/>
    <w:rsid w:val="006F27DC"/>
    <w:rsid w:val="006F5830"/>
    <w:rsid w:val="006F69A8"/>
    <w:rsid w:val="007022F6"/>
    <w:rsid w:val="00704BBB"/>
    <w:rsid w:val="00705910"/>
    <w:rsid w:val="00714343"/>
    <w:rsid w:val="00755ADB"/>
    <w:rsid w:val="00756040"/>
    <w:rsid w:val="00761218"/>
    <w:rsid w:val="00762813"/>
    <w:rsid w:val="00767559"/>
    <w:rsid w:val="00784943"/>
    <w:rsid w:val="00796057"/>
    <w:rsid w:val="007A3099"/>
    <w:rsid w:val="007A3DFB"/>
    <w:rsid w:val="007B1A5A"/>
    <w:rsid w:val="007C277B"/>
    <w:rsid w:val="007C7334"/>
    <w:rsid w:val="007D1D1F"/>
    <w:rsid w:val="007F0E02"/>
    <w:rsid w:val="007F29FF"/>
    <w:rsid w:val="00801CB2"/>
    <w:rsid w:val="008104CC"/>
    <w:rsid w:val="0082594C"/>
    <w:rsid w:val="00837AC4"/>
    <w:rsid w:val="00840E48"/>
    <w:rsid w:val="008430C8"/>
    <w:rsid w:val="00843231"/>
    <w:rsid w:val="00875D2B"/>
    <w:rsid w:val="00883127"/>
    <w:rsid w:val="00884551"/>
    <w:rsid w:val="00887F99"/>
    <w:rsid w:val="008A01FD"/>
    <w:rsid w:val="008B10C8"/>
    <w:rsid w:val="008F5E79"/>
    <w:rsid w:val="00910B4C"/>
    <w:rsid w:val="009157D6"/>
    <w:rsid w:val="009201DC"/>
    <w:rsid w:val="009231CF"/>
    <w:rsid w:val="00954442"/>
    <w:rsid w:val="00963151"/>
    <w:rsid w:val="00972BAB"/>
    <w:rsid w:val="00973EE7"/>
    <w:rsid w:val="00975818"/>
    <w:rsid w:val="009809EF"/>
    <w:rsid w:val="009B15A2"/>
    <w:rsid w:val="009B3971"/>
    <w:rsid w:val="009B465F"/>
    <w:rsid w:val="009C5D88"/>
    <w:rsid w:val="009D099F"/>
    <w:rsid w:val="009D1438"/>
    <w:rsid w:val="009E24BD"/>
    <w:rsid w:val="009F751A"/>
    <w:rsid w:val="00A045D8"/>
    <w:rsid w:val="00A06B28"/>
    <w:rsid w:val="00A133DA"/>
    <w:rsid w:val="00A35069"/>
    <w:rsid w:val="00A40D92"/>
    <w:rsid w:val="00A45AC9"/>
    <w:rsid w:val="00A5111A"/>
    <w:rsid w:val="00A53915"/>
    <w:rsid w:val="00A66B60"/>
    <w:rsid w:val="00A72BC9"/>
    <w:rsid w:val="00A72CFB"/>
    <w:rsid w:val="00A748B1"/>
    <w:rsid w:val="00AA30F5"/>
    <w:rsid w:val="00AA3EDF"/>
    <w:rsid w:val="00AB1310"/>
    <w:rsid w:val="00AB2D00"/>
    <w:rsid w:val="00AB4C09"/>
    <w:rsid w:val="00AD583B"/>
    <w:rsid w:val="00AE1E3B"/>
    <w:rsid w:val="00AE3239"/>
    <w:rsid w:val="00AF78D0"/>
    <w:rsid w:val="00B216A3"/>
    <w:rsid w:val="00B229FB"/>
    <w:rsid w:val="00B33D73"/>
    <w:rsid w:val="00B36423"/>
    <w:rsid w:val="00B75D5E"/>
    <w:rsid w:val="00B84D83"/>
    <w:rsid w:val="00B94C4E"/>
    <w:rsid w:val="00BB0C26"/>
    <w:rsid w:val="00BB7CF4"/>
    <w:rsid w:val="00BC515F"/>
    <w:rsid w:val="00BC6316"/>
    <w:rsid w:val="00BC6C9C"/>
    <w:rsid w:val="00BD1DC1"/>
    <w:rsid w:val="00BE111C"/>
    <w:rsid w:val="00BF6981"/>
    <w:rsid w:val="00C12DA9"/>
    <w:rsid w:val="00C1477B"/>
    <w:rsid w:val="00C53798"/>
    <w:rsid w:val="00C61320"/>
    <w:rsid w:val="00CA421B"/>
    <w:rsid w:val="00CD43BB"/>
    <w:rsid w:val="00CE6848"/>
    <w:rsid w:val="00CF178A"/>
    <w:rsid w:val="00CF5D37"/>
    <w:rsid w:val="00D02203"/>
    <w:rsid w:val="00D232F3"/>
    <w:rsid w:val="00D3613B"/>
    <w:rsid w:val="00D50FE8"/>
    <w:rsid w:val="00D550FB"/>
    <w:rsid w:val="00D800B1"/>
    <w:rsid w:val="00D90022"/>
    <w:rsid w:val="00D91B03"/>
    <w:rsid w:val="00DD0C94"/>
    <w:rsid w:val="00DD5349"/>
    <w:rsid w:val="00DE79DC"/>
    <w:rsid w:val="00DF6E0A"/>
    <w:rsid w:val="00E124F5"/>
    <w:rsid w:val="00E36695"/>
    <w:rsid w:val="00E47E1F"/>
    <w:rsid w:val="00E53CA4"/>
    <w:rsid w:val="00E854DE"/>
    <w:rsid w:val="00EB1E89"/>
    <w:rsid w:val="00EC27FA"/>
    <w:rsid w:val="00EC74E3"/>
    <w:rsid w:val="00ED68CD"/>
    <w:rsid w:val="00EE4291"/>
    <w:rsid w:val="00EE4E9C"/>
    <w:rsid w:val="00EF1D70"/>
    <w:rsid w:val="00EF5BB8"/>
    <w:rsid w:val="00F07718"/>
    <w:rsid w:val="00F2614A"/>
    <w:rsid w:val="00F264DB"/>
    <w:rsid w:val="00F27B4F"/>
    <w:rsid w:val="00F27B65"/>
    <w:rsid w:val="00F347FB"/>
    <w:rsid w:val="00F4797F"/>
    <w:rsid w:val="00F63E4F"/>
    <w:rsid w:val="00F9171F"/>
    <w:rsid w:val="00F93A4F"/>
    <w:rsid w:val="00FA4B60"/>
    <w:rsid w:val="00FC42DB"/>
    <w:rsid w:val="00FD3F5D"/>
    <w:rsid w:val="00FD6D48"/>
    <w:rsid w:val="00FD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unhideWhenUsed="0" w:qFormat="1"/>
    <w:lsdException w:name="Default Paragraph Font" w:uiPriority="1"/>
    <w:lsdException w:name="Body Text Indent" w:uiPriority="0"/>
    <w:lsdException w:name="Subtitle" w:unhideWhenUsed="0" w:qFormat="1"/>
    <w:lsdException w:name="Strong"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7"/>
    <w:lsdException w:name="TOC Heading" w:uiPriority="39" w:qFormat="1"/>
  </w:latentStyles>
  <w:style w:type="paragraph" w:default="1" w:styleId="Normal">
    <w:name w:val="Normal"/>
    <w:uiPriority w:val="99"/>
    <w:semiHidden/>
    <w:qFormat/>
    <w:rsid w:val="00B36423"/>
    <w:pPr>
      <w:jc w:val="both"/>
    </w:pPr>
    <w:rPr>
      <w:rFonts w:ascii="Times" w:hAnsi="Times"/>
      <w:szCs w:val="24"/>
      <w:lang w:val="en-GB"/>
    </w:rPr>
  </w:style>
  <w:style w:type="paragraph" w:styleId="Heading1">
    <w:name w:val="heading 1"/>
    <w:next w:val="AuthorList"/>
    <w:uiPriority w:val="99"/>
    <w:semiHidden/>
    <w:rsid w:val="006C58CD"/>
    <w:pPr>
      <w:keepNext/>
      <w:spacing w:after="60"/>
      <w:jc w:val="center"/>
      <w:outlineLvl w:val="0"/>
    </w:pPr>
    <w:rPr>
      <w:rFonts w:cs="Arial"/>
      <w:b/>
      <w:bCs/>
      <w:caps/>
      <w:kern w:val="32"/>
      <w:sz w:val="28"/>
      <w:szCs w:val="32"/>
      <w:lang w:val="en-GB"/>
    </w:rPr>
  </w:style>
  <w:style w:type="paragraph" w:styleId="Heading2">
    <w:name w:val="heading 2"/>
    <w:next w:val="BodyTextIndent"/>
    <w:uiPriority w:val="99"/>
    <w:semiHidden/>
    <w:qFormat/>
    <w:rsid w:val="006C58CD"/>
    <w:pPr>
      <w:keepNext/>
      <w:spacing w:before="240" w:after="60"/>
      <w:jc w:val="center"/>
      <w:outlineLvl w:val="1"/>
    </w:pPr>
    <w:rPr>
      <w:rFonts w:cs="Arial"/>
      <w:b/>
      <w:bCs/>
      <w:iCs/>
      <w:caps/>
      <w:kern w:val="16"/>
      <w:sz w:val="24"/>
      <w:szCs w:val="28"/>
      <w:lang w:val="en-GB"/>
    </w:rPr>
  </w:style>
  <w:style w:type="paragraph" w:styleId="Heading3">
    <w:name w:val="heading 3"/>
    <w:next w:val="BodyTextIndent"/>
    <w:uiPriority w:val="99"/>
    <w:semiHidden/>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uiPriority w:val="99"/>
    <w:semiHidden/>
    <w:rsid w:val="006C58CD"/>
    <w:rPr>
      <w:sz w:val="16"/>
      <w:lang w:val="en-GB"/>
    </w:rPr>
  </w:style>
  <w:style w:type="paragraph" w:customStyle="1" w:styleId="AbstractTitle">
    <w:name w:val="Abstract Title"/>
    <w:next w:val="BodyTextIndent"/>
    <w:uiPriority w:val="2"/>
    <w:rsid w:val="00B36423"/>
    <w:pPr>
      <w:spacing w:after="60"/>
    </w:pPr>
    <w:rPr>
      <w:i/>
      <w:kern w:val="16"/>
      <w:sz w:val="24"/>
      <w:szCs w:val="24"/>
      <w:lang w:val="en-GB"/>
    </w:rPr>
  </w:style>
  <w:style w:type="paragraph" w:customStyle="1" w:styleId="AuthorList">
    <w:name w:val="Author List"/>
    <w:next w:val="AbstractTitle"/>
    <w:autoRedefine/>
    <w:uiPriority w:val="1"/>
    <w:rsid w:val="00DE79DC"/>
    <w:pPr>
      <w:spacing w:before="180" w:after="240"/>
      <w:jc w:val="center"/>
    </w:pPr>
    <w:rPr>
      <w:sz w:val="24"/>
      <w:szCs w:val="24"/>
      <w:lang w:val="en-GB"/>
    </w:rPr>
  </w:style>
  <w:style w:type="paragraph" w:customStyle="1" w:styleId="FigureCaption">
    <w:name w:val="Figure Caption"/>
    <w:next w:val="BodyTextIndent"/>
    <w:uiPriority w:val="6"/>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uiPriority w:val="99"/>
    <w:semiHidden/>
    <w:rsid w:val="006C58CD"/>
    <w:rPr>
      <w:rFonts w:ascii="Times New Roman" w:hAnsi="Times New Roman"/>
      <w:sz w:val="20"/>
      <w:vertAlign w:val="superscript"/>
    </w:rPr>
  </w:style>
  <w:style w:type="paragraph" w:customStyle="1" w:styleId="Equation">
    <w:name w:val="Equation"/>
    <w:basedOn w:val="BodyTextNoIndent"/>
    <w:next w:val="BodyTextNoIndent"/>
    <w:autoRedefine/>
    <w:uiPriority w:val="5"/>
    <w:rsid w:val="00D02203"/>
    <w:pPr>
      <w:tabs>
        <w:tab w:val="center" w:pos="2340"/>
        <w:tab w:val="right" w:pos="4673"/>
      </w:tabs>
      <w:spacing w:before="240" w:after="240"/>
    </w:pPr>
    <w:rPr>
      <w:kern w:val="16"/>
    </w:rPr>
  </w:style>
  <w:style w:type="paragraph" w:customStyle="1" w:styleId="Reference">
    <w:name w:val="Reference"/>
    <w:basedOn w:val="Normal"/>
    <w:link w:val="ReferenceChar"/>
    <w:uiPriority w:val="8"/>
    <w:qFormat/>
    <w:rsid w:val="00AD583B"/>
    <w:pPr>
      <w:tabs>
        <w:tab w:val="left" w:pos="360"/>
      </w:tabs>
      <w:ind w:left="360" w:hanging="360"/>
    </w:pPr>
  </w:style>
  <w:style w:type="paragraph" w:styleId="BodyTextIndent">
    <w:name w:val="Body Text Indent"/>
    <w:link w:val="BodyTextIndentChar"/>
    <w:rsid w:val="002C6318"/>
    <w:pPr>
      <w:ind w:firstLine="187"/>
      <w:jc w:val="both"/>
    </w:pPr>
    <w:rPr>
      <w:lang w:val="en-GB"/>
    </w:rPr>
  </w:style>
  <w:style w:type="character" w:styleId="Hyperlink">
    <w:name w:val="Hyperlink"/>
    <w:basedOn w:val="DefaultParagraphFont"/>
    <w:uiPriority w:val="99"/>
    <w:semiHidden/>
    <w:rsid w:val="00370789"/>
    <w:rPr>
      <w:color w:val="0000FF"/>
      <w:u w:val="single"/>
    </w:rPr>
  </w:style>
  <w:style w:type="paragraph" w:customStyle="1" w:styleId="BulletedList">
    <w:name w:val="Bulleted List"/>
    <w:uiPriority w:val="9"/>
    <w:rsid w:val="003C52DD"/>
    <w:pPr>
      <w:numPr>
        <w:numId w:val="2"/>
      </w:numPr>
      <w:jc w:val="both"/>
    </w:pPr>
    <w:rPr>
      <w:szCs w:val="24"/>
      <w:lang w:val="en-GB"/>
    </w:rPr>
  </w:style>
  <w:style w:type="character" w:customStyle="1" w:styleId="ReferenceChar">
    <w:name w:val="Reference Char"/>
    <w:basedOn w:val="DefaultParagraphFont"/>
    <w:link w:val="Reference"/>
    <w:uiPriority w:val="8"/>
    <w:rsid w:val="00B36423"/>
    <w:rPr>
      <w:rFonts w:ascii="Times" w:hAnsi="Times"/>
      <w:szCs w:val="24"/>
      <w:lang w:val="en-GB"/>
    </w:rPr>
  </w:style>
  <w:style w:type="paragraph" w:styleId="Caption">
    <w:name w:val="caption"/>
    <w:basedOn w:val="Normal"/>
    <w:next w:val="Normal"/>
    <w:uiPriority w:val="99"/>
    <w:semiHidden/>
    <w:qFormat/>
    <w:rsid w:val="00370789"/>
    <w:pPr>
      <w:spacing w:before="120" w:after="120"/>
    </w:pPr>
    <w:rPr>
      <w:b/>
      <w:bCs/>
      <w:szCs w:val="20"/>
    </w:rPr>
  </w:style>
  <w:style w:type="paragraph" w:customStyle="1" w:styleId="BodyTextNoIndent">
    <w:name w:val="Body Text No Indent"/>
    <w:basedOn w:val="BodyTextIndent"/>
    <w:uiPriority w:val="9"/>
    <w:rsid w:val="002C6318"/>
    <w:pPr>
      <w:ind w:firstLine="0"/>
    </w:pPr>
  </w:style>
  <w:style w:type="paragraph" w:customStyle="1" w:styleId="FigureCaptionMultiLine">
    <w:name w:val="Figure Caption Multi Line"/>
    <w:basedOn w:val="FigureCaption"/>
    <w:next w:val="BodyTextIndent"/>
    <w:uiPriority w:val="6"/>
    <w:rsid w:val="006C58CD"/>
    <w:pPr>
      <w:jc w:val="both"/>
    </w:pPr>
    <w:rPr>
      <w:szCs w:val="20"/>
    </w:rPr>
  </w:style>
  <w:style w:type="paragraph" w:customStyle="1" w:styleId="TableCaptionMultiLine">
    <w:name w:val="Table Caption Multi Line"/>
    <w:basedOn w:val="TableCaption"/>
    <w:next w:val="BodyTextIndent"/>
    <w:uiPriority w:val="7"/>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 w:type="character" w:styleId="CommentReference">
    <w:name w:val="annotation reference"/>
    <w:basedOn w:val="DefaultParagraphFont"/>
    <w:uiPriority w:val="99"/>
    <w:semiHidden/>
    <w:unhideWhenUsed/>
    <w:rsid w:val="00013ABB"/>
    <w:rPr>
      <w:sz w:val="16"/>
      <w:szCs w:val="16"/>
    </w:rPr>
  </w:style>
  <w:style w:type="paragraph" w:styleId="CommentText">
    <w:name w:val="annotation text"/>
    <w:basedOn w:val="Normal"/>
    <w:link w:val="CommentTextChar"/>
    <w:uiPriority w:val="99"/>
    <w:semiHidden/>
    <w:unhideWhenUsed/>
    <w:rsid w:val="00013ABB"/>
    <w:rPr>
      <w:szCs w:val="20"/>
    </w:rPr>
  </w:style>
  <w:style w:type="character" w:customStyle="1" w:styleId="CommentTextChar">
    <w:name w:val="Comment Text Char"/>
    <w:basedOn w:val="DefaultParagraphFont"/>
    <w:link w:val="CommentText"/>
    <w:uiPriority w:val="99"/>
    <w:semiHidden/>
    <w:rsid w:val="00013ABB"/>
    <w:rPr>
      <w:rFonts w:ascii="Times" w:hAnsi="Times"/>
      <w:lang w:val="en-GB"/>
    </w:rPr>
  </w:style>
  <w:style w:type="paragraph" w:styleId="CommentSubject">
    <w:name w:val="annotation subject"/>
    <w:basedOn w:val="CommentText"/>
    <w:next w:val="CommentText"/>
    <w:link w:val="CommentSubjectChar"/>
    <w:uiPriority w:val="99"/>
    <w:semiHidden/>
    <w:unhideWhenUsed/>
    <w:rsid w:val="00013ABB"/>
    <w:rPr>
      <w:b/>
      <w:bCs/>
    </w:rPr>
  </w:style>
  <w:style w:type="character" w:customStyle="1" w:styleId="CommentSubjectChar">
    <w:name w:val="Comment Subject Char"/>
    <w:basedOn w:val="CommentTextChar"/>
    <w:link w:val="CommentSubject"/>
    <w:uiPriority w:val="99"/>
    <w:semiHidden/>
    <w:rsid w:val="00013ABB"/>
    <w:rPr>
      <w:rFonts w:ascii="Times" w:hAnsi="Times"/>
      <w:b/>
      <w:bCs/>
      <w:lang w:val="en-GB"/>
    </w:rPr>
  </w:style>
  <w:style w:type="paragraph" w:customStyle="1" w:styleId="PaperTitle">
    <w:name w:val="Paper Title"/>
    <w:basedOn w:val="Heading1"/>
    <w:qFormat/>
    <w:rsid w:val="00C1477B"/>
  </w:style>
  <w:style w:type="paragraph" w:customStyle="1" w:styleId="SectionHeading">
    <w:name w:val="Section Heading"/>
    <w:basedOn w:val="Heading2"/>
    <w:uiPriority w:val="3"/>
    <w:qFormat/>
    <w:rsid w:val="00C1477B"/>
  </w:style>
  <w:style w:type="paragraph" w:customStyle="1" w:styleId="SubsectionHeading">
    <w:name w:val="Subsection Heading"/>
    <w:basedOn w:val="Heading3"/>
    <w:uiPriority w:val="4"/>
    <w:qFormat/>
    <w:rsid w:val="00541B68"/>
    <w:rPr>
      <w:kern w:val="16"/>
    </w:rPr>
  </w:style>
  <w:style w:type="character" w:customStyle="1" w:styleId="BodyTextIndentChar">
    <w:name w:val="Body Text Indent Char"/>
    <w:basedOn w:val="DefaultParagraphFont"/>
    <w:link w:val="BodyTextIndent"/>
    <w:rsid w:val="009B465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unhideWhenUsed="0" w:qFormat="1"/>
    <w:lsdException w:name="Default Paragraph Font" w:uiPriority="1"/>
    <w:lsdException w:name="Body Text Indent" w:uiPriority="0"/>
    <w:lsdException w:name="Subtitle" w:unhideWhenUsed="0" w:qFormat="1"/>
    <w:lsdException w:name="Strong"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7"/>
    <w:lsdException w:name="TOC Heading" w:uiPriority="39" w:qFormat="1"/>
  </w:latentStyles>
  <w:style w:type="paragraph" w:default="1" w:styleId="Normal">
    <w:name w:val="Normal"/>
    <w:uiPriority w:val="99"/>
    <w:semiHidden/>
    <w:qFormat/>
    <w:rsid w:val="00B36423"/>
    <w:pPr>
      <w:jc w:val="both"/>
    </w:pPr>
    <w:rPr>
      <w:rFonts w:ascii="Times" w:hAnsi="Times"/>
      <w:szCs w:val="24"/>
      <w:lang w:val="en-GB"/>
    </w:rPr>
  </w:style>
  <w:style w:type="paragraph" w:styleId="Heading1">
    <w:name w:val="heading 1"/>
    <w:next w:val="AuthorList"/>
    <w:uiPriority w:val="99"/>
    <w:semiHidden/>
    <w:rsid w:val="006C58CD"/>
    <w:pPr>
      <w:keepNext/>
      <w:spacing w:after="60"/>
      <w:jc w:val="center"/>
      <w:outlineLvl w:val="0"/>
    </w:pPr>
    <w:rPr>
      <w:rFonts w:cs="Arial"/>
      <w:b/>
      <w:bCs/>
      <w:caps/>
      <w:kern w:val="32"/>
      <w:sz w:val="28"/>
      <w:szCs w:val="32"/>
      <w:lang w:val="en-GB"/>
    </w:rPr>
  </w:style>
  <w:style w:type="paragraph" w:styleId="Heading2">
    <w:name w:val="heading 2"/>
    <w:next w:val="BodyTextIndent"/>
    <w:uiPriority w:val="99"/>
    <w:semiHidden/>
    <w:qFormat/>
    <w:rsid w:val="006C58CD"/>
    <w:pPr>
      <w:keepNext/>
      <w:spacing w:before="240" w:after="60"/>
      <w:jc w:val="center"/>
      <w:outlineLvl w:val="1"/>
    </w:pPr>
    <w:rPr>
      <w:rFonts w:cs="Arial"/>
      <w:b/>
      <w:bCs/>
      <w:iCs/>
      <w:caps/>
      <w:kern w:val="16"/>
      <w:sz w:val="24"/>
      <w:szCs w:val="28"/>
      <w:lang w:val="en-GB"/>
    </w:rPr>
  </w:style>
  <w:style w:type="paragraph" w:styleId="Heading3">
    <w:name w:val="heading 3"/>
    <w:next w:val="BodyTextIndent"/>
    <w:uiPriority w:val="99"/>
    <w:semiHidden/>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uiPriority w:val="99"/>
    <w:semiHidden/>
    <w:rsid w:val="006C58CD"/>
    <w:rPr>
      <w:sz w:val="16"/>
      <w:lang w:val="en-GB"/>
    </w:rPr>
  </w:style>
  <w:style w:type="paragraph" w:customStyle="1" w:styleId="AbstractTitle">
    <w:name w:val="Abstract Title"/>
    <w:next w:val="BodyTextIndent"/>
    <w:uiPriority w:val="2"/>
    <w:rsid w:val="00B36423"/>
    <w:pPr>
      <w:spacing w:after="60"/>
    </w:pPr>
    <w:rPr>
      <w:i/>
      <w:kern w:val="16"/>
      <w:sz w:val="24"/>
      <w:szCs w:val="24"/>
      <w:lang w:val="en-GB"/>
    </w:rPr>
  </w:style>
  <w:style w:type="paragraph" w:customStyle="1" w:styleId="AuthorList">
    <w:name w:val="Author List"/>
    <w:next w:val="AbstractTitle"/>
    <w:autoRedefine/>
    <w:uiPriority w:val="1"/>
    <w:rsid w:val="00DE79DC"/>
    <w:pPr>
      <w:spacing w:before="180" w:after="240"/>
      <w:jc w:val="center"/>
    </w:pPr>
    <w:rPr>
      <w:sz w:val="24"/>
      <w:szCs w:val="24"/>
      <w:lang w:val="en-GB"/>
    </w:rPr>
  </w:style>
  <w:style w:type="paragraph" w:customStyle="1" w:styleId="FigureCaption">
    <w:name w:val="Figure Caption"/>
    <w:next w:val="BodyTextIndent"/>
    <w:uiPriority w:val="6"/>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uiPriority w:val="99"/>
    <w:semiHidden/>
    <w:rsid w:val="006C58CD"/>
    <w:rPr>
      <w:rFonts w:ascii="Times New Roman" w:hAnsi="Times New Roman"/>
      <w:sz w:val="20"/>
      <w:vertAlign w:val="superscript"/>
    </w:rPr>
  </w:style>
  <w:style w:type="paragraph" w:customStyle="1" w:styleId="Equation">
    <w:name w:val="Equation"/>
    <w:basedOn w:val="BodyTextNoIndent"/>
    <w:next w:val="BodyTextNoIndent"/>
    <w:autoRedefine/>
    <w:uiPriority w:val="5"/>
    <w:rsid w:val="00D02203"/>
    <w:pPr>
      <w:tabs>
        <w:tab w:val="center" w:pos="2340"/>
        <w:tab w:val="right" w:pos="4673"/>
      </w:tabs>
      <w:spacing w:before="240" w:after="240"/>
    </w:pPr>
    <w:rPr>
      <w:kern w:val="16"/>
    </w:rPr>
  </w:style>
  <w:style w:type="paragraph" w:customStyle="1" w:styleId="Reference">
    <w:name w:val="Reference"/>
    <w:basedOn w:val="Normal"/>
    <w:link w:val="ReferenceChar"/>
    <w:uiPriority w:val="8"/>
    <w:qFormat/>
    <w:rsid w:val="00AD583B"/>
    <w:pPr>
      <w:tabs>
        <w:tab w:val="left" w:pos="360"/>
      </w:tabs>
      <w:ind w:left="360" w:hanging="360"/>
    </w:pPr>
  </w:style>
  <w:style w:type="paragraph" w:styleId="BodyTextIndent">
    <w:name w:val="Body Text Indent"/>
    <w:link w:val="BodyTextIndentChar"/>
    <w:rsid w:val="002C6318"/>
    <w:pPr>
      <w:ind w:firstLine="187"/>
      <w:jc w:val="both"/>
    </w:pPr>
    <w:rPr>
      <w:lang w:val="en-GB"/>
    </w:rPr>
  </w:style>
  <w:style w:type="character" w:styleId="Hyperlink">
    <w:name w:val="Hyperlink"/>
    <w:basedOn w:val="DefaultParagraphFont"/>
    <w:uiPriority w:val="99"/>
    <w:semiHidden/>
    <w:rsid w:val="00370789"/>
    <w:rPr>
      <w:color w:val="0000FF"/>
      <w:u w:val="single"/>
    </w:rPr>
  </w:style>
  <w:style w:type="paragraph" w:customStyle="1" w:styleId="BulletedList">
    <w:name w:val="Bulleted List"/>
    <w:uiPriority w:val="9"/>
    <w:rsid w:val="003C52DD"/>
    <w:pPr>
      <w:numPr>
        <w:numId w:val="2"/>
      </w:numPr>
      <w:jc w:val="both"/>
    </w:pPr>
    <w:rPr>
      <w:szCs w:val="24"/>
      <w:lang w:val="en-GB"/>
    </w:rPr>
  </w:style>
  <w:style w:type="character" w:customStyle="1" w:styleId="ReferenceChar">
    <w:name w:val="Reference Char"/>
    <w:basedOn w:val="DefaultParagraphFont"/>
    <w:link w:val="Reference"/>
    <w:uiPriority w:val="8"/>
    <w:rsid w:val="00B36423"/>
    <w:rPr>
      <w:rFonts w:ascii="Times" w:hAnsi="Times"/>
      <w:szCs w:val="24"/>
      <w:lang w:val="en-GB"/>
    </w:rPr>
  </w:style>
  <w:style w:type="paragraph" w:styleId="Caption">
    <w:name w:val="caption"/>
    <w:basedOn w:val="Normal"/>
    <w:next w:val="Normal"/>
    <w:uiPriority w:val="99"/>
    <w:semiHidden/>
    <w:qFormat/>
    <w:rsid w:val="00370789"/>
    <w:pPr>
      <w:spacing w:before="120" w:after="120"/>
    </w:pPr>
    <w:rPr>
      <w:b/>
      <w:bCs/>
      <w:szCs w:val="20"/>
    </w:rPr>
  </w:style>
  <w:style w:type="paragraph" w:customStyle="1" w:styleId="BodyTextNoIndent">
    <w:name w:val="Body Text No Indent"/>
    <w:basedOn w:val="BodyTextIndent"/>
    <w:uiPriority w:val="9"/>
    <w:rsid w:val="002C6318"/>
    <w:pPr>
      <w:ind w:firstLine="0"/>
    </w:pPr>
  </w:style>
  <w:style w:type="paragraph" w:customStyle="1" w:styleId="FigureCaptionMultiLine">
    <w:name w:val="Figure Caption Multi Line"/>
    <w:basedOn w:val="FigureCaption"/>
    <w:next w:val="BodyTextIndent"/>
    <w:uiPriority w:val="6"/>
    <w:rsid w:val="006C58CD"/>
    <w:pPr>
      <w:jc w:val="both"/>
    </w:pPr>
    <w:rPr>
      <w:szCs w:val="20"/>
    </w:rPr>
  </w:style>
  <w:style w:type="paragraph" w:customStyle="1" w:styleId="TableCaptionMultiLine">
    <w:name w:val="Table Caption Multi Line"/>
    <w:basedOn w:val="TableCaption"/>
    <w:next w:val="BodyTextIndent"/>
    <w:uiPriority w:val="7"/>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 w:type="character" w:styleId="CommentReference">
    <w:name w:val="annotation reference"/>
    <w:basedOn w:val="DefaultParagraphFont"/>
    <w:uiPriority w:val="99"/>
    <w:semiHidden/>
    <w:unhideWhenUsed/>
    <w:rsid w:val="00013ABB"/>
    <w:rPr>
      <w:sz w:val="16"/>
      <w:szCs w:val="16"/>
    </w:rPr>
  </w:style>
  <w:style w:type="paragraph" w:styleId="CommentText">
    <w:name w:val="annotation text"/>
    <w:basedOn w:val="Normal"/>
    <w:link w:val="CommentTextChar"/>
    <w:uiPriority w:val="99"/>
    <w:semiHidden/>
    <w:unhideWhenUsed/>
    <w:rsid w:val="00013ABB"/>
    <w:rPr>
      <w:szCs w:val="20"/>
    </w:rPr>
  </w:style>
  <w:style w:type="character" w:customStyle="1" w:styleId="CommentTextChar">
    <w:name w:val="Comment Text Char"/>
    <w:basedOn w:val="DefaultParagraphFont"/>
    <w:link w:val="CommentText"/>
    <w:uiPriority w:val="99"/>
    <w:semiHidden/>
    <w:rsid w:val="00013ABB"/>
    <w:rPr>
      <w:rFonts w:ascii="Times" w:hAnsi="Times"/>
      <w:lang w:val="en-GB"/>
    </w:rPr>
  </w:style>
  <w:style w:type="paragraph" w:styleId="CommentSubject">
    <w:name w:val="annotation subject"/>
    <w:basedOn w:val="CommentText"/>
    <w:next w:val="CommentText"/>
    <w:link w:val="CommentSubjectChar"/>
    <w:uiPriority w:val="99"/>
    <w:semiHidden/>
    <w:unhideWhenUsed/>
    <w:rsid w:val="00013ABB"/>
    <w:rPr>
      <w:b/>
      <w:bCs/>
    </w:rPr>
  </w:style>
  <w:style w:type="character" w:customStyle="1" w:styleId="CommentSubjectChar">
    <w:name w:val="Comment Subject Char"/>
    <w:basedOn w:val="CommentTextChar"/>
    <w:link w:val="CommentSubject"/>
    <w:uiPriority w:val="99"/>
    <w:semiHidden/>
    <w:rsid w:val="00013ABB"/>
    <w:rPr>
      <w:rFonts w:ascii="Times" w:hAnsi="Times"/>
      <w:b/>
      <w:bCs/>
      <w:lang w:val="en-GB"/>
    </w:rPr>
  </w:style>
  <w:style w:type="paragraph" w:customStyle="1" w:styleId="PaperTitle">
    <w:name w:val="Paper Title"/>
    <w:basedOn w:val="Heading1"/>
    <w:qFormat/>
    <w:rsid w:val="00C1477B"/>
  </w:style>
  <w:style w:type="paragraph" w:customStyle="1" w:styleId="SectionHeading">
    <w:name w:val="Section Heading"/>
    <w:basedOn w:val="Heading2"/>
    <w:uiPriority w:val="3"/>
    <w:qFormat/>
    <w:rsid w:val="00C1477B"/>
  </w:style>
  <w:style w:type="paragraph" w:customStyle="1" w:styleId="SubsectionHeading">
    <w:name w:val="Subsection Heading"/>
    <w:basedOn w:val="Heading3"/>
    <w:uiPriority w:val="4"/>
    <w:qFormat/>
    <w:rsid w:val="00541B68"/>
    <w:rPr>
      <w:kern w:val="16"/>
    </w:rPr>
  </w:style>
  <w:style w:type="character" w:customStyle="1" w:styleId="BodyTextIndentChar">
    <w:name w:val="Body Text Indent Char"/>
    <w:basedOn w:val="DefaultParagraphFont"/>
    <w:link w:val="BodyTextIndent"/>
    <w:rsid w:val="009B46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68975">
      <w:bodyDiv w:val="1"/>
      <w:marLeft w:val="0"/>
      <w:marRight w:val="0"/>
      <w:marTop w:val="0"/>
      <w:marBottom w:val="0"/>
      <w:divBdr>
        <w:top w:val="none" w:sz="0" w:space="0" w:color="auto"/>
        <w:left w:val="none" w:sz="0" w:space="0" w:color="auto"/>
        <w:bottom w:val="none" w:sz="0" w:space="0" w:color="auto"/>
        <w:right w:val="none" w:sz="0" w:space="0" w:color="auto"/>
      </w:divBdr>
    </w:div>
    <w:div w:id="1228540738">
      <w:bodyDiv w:val="1"/>
      <w:marLeft w:val="0"/>
      <w:marRight w:val="0"/>
      <w:marTop w:val="0"/>
      <w:marBottom w:val="0"/>
      <w:divBdr>
        <w:top w:val="none" w:sz="0" w:space="0" w:color="auto"/>
        <w:left w:val="none" w:sz="0" w:space="0" w:color="auto"/>
        <w:bottom w:val="none" w:sz="0" w:space="0" w:color="auto"/>
        <w:right w:val="none" w:sz="0" w:space="0" w:color="auto"/>
      </w:divBdr>
    </w:div>
    <w:div w:id="13516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ywar\Documents\User\WORD\IPAC15\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5015-D357-4F8C-85B4-CF716908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paper.dotx</Template>
  <TotalTime>0</TotalTime>
  <Pages>3</Pages>
  <Words>1659</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Wanzenberg, Rainer</dc:creator>
  <cp:lastModifiedBy>Wanzenberg, Rainer</cp:lastModifiedBy>
  <cp:revision>93</cp:revision>
  <cp:lastPrinted>2015-04-27T17:11:00Z</cp:lastPrinted>
  <dcterms:created xsi:type="dcterms:W3CDTF">2015-04-16T19:25:00Z</dcterms:created>
  <dcterms:modified xsi:type="dcterms:W3CDTF">2015-04-29T13:13:00Z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